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color w:val="000000"/>
          <w:sz w:val="32"/>
          <w:szCs w:val="32"/>
          <w:lang w:val="en-US" w:eastAsia="zh-CN"/>
        </w:rPr>
        <w:t>视宣号引入规则</w:t>
      </w:r>
    </w:p>
    <w:p>
      <w:pPr>
        <w:jc w:val="center"/>
        <w:rPr>
          <w:rFonts w:hint="eastAsia" w:ascii="微软雅黑" w:hAnsi="微软雅黑" w:eastAsia="微软雅黑" w:cs="仿宋_GB2312"/>
          <w:color w:val="000000"/>
          <w:sz w:val="22"/>
          <w:szCs w:val="22"/>
          <w:lang w:val="en-US" w:eastAsia="zh-CN"/>
        </w:rPr>
      </w:pPr>
      <w:r>
        <w:rPr>
          <w:rFonts w:hint="eastAsia" w:ascii="微软雅黑" w:hAnsi="微软雅黑" w:eastAsia="微软雅黑" w:cs="仿宋_GB2312"/>
          <w:color w:val="000000"/>
          <w:sz w:val="22"/>
          <w:szCs w:val="22"/>
          <w:lang w:val="en-US" w:eastAsia="zh-CN"/>
        </w:rPr>
        <w:t>（2026年10月B类引入）</w:t>
      </w:r>
    </w:p>
    <w:p>
      <w:pPr>
        <w:jc w:val="center"/>
        <w:rPr>
          <w:rFonts w:hint="default" w:ascii="微软雅黑" w:hAnsi="微软雅黑" w:eastAsia="微软雅黑" w:cs="仿宋_GB2312"/>
          <w:color w:val="000000"/>
          <w:sz w:val="22"/>
          <w:szCs w:val="22"/>
          <w:lang w:val="en-US" w:eastAsia="zh-CN"/>
        </w:rPr>
      </w:pPr>
    </w:p>
    <w:p>
      <w:pPr>
        <w:snapToGrid w:val="0"/>
        <w:spacing w:line="600" w:lineRule="exact"/>
        <w:ind w:firstLine="620" w:firstLineChars="200"/>
        <w:rPr>
          <w:rFonts w:ascii="仿宋_GB2312" w:eastAsia="仿宋_GB2312" w:cs="仿宋_GB2312"/>
          <w:sz w:val="31"/>
          <w:szCs w:val="31"/>
        </w:rPr>
      </w:pPr>
      <w:r>
        <w:rPr>
          <w:rFonts w:ascii="仿宋_GB2312" w:eastAsia="仿宋_GB2312" w:cs="仿宋_GB2312"/>
          <w:sz w:val="31"/>
          <w:szCs w:val="31"/>
        </w:rPr>
        <w:t>合作招募的引入资质要求包括基本引入资质与</w:t>
      </w:r>
      <w:r>
        <w:rPr>
          <w:rFonts w:hint="eastAsia" w:ascii="仿宋_GB2312" w:eastAsia="仿宋_GB2312" w:cs="仿宋_GB2312"/>
          <w:sz w:val="31"/>
          <w:szCs w:val="31"/>
        </w:rPr>
        <w:t>专业能力</w:t>
      </w:r>
      <w:r>
        <w:rPr>
          <w:rFonts w:ascii="仿宋_GB2312" w:eastAsia="仿宋_GB2312" w:cs="仿宋_GB2312"/>
          <w:sz w:val="31"/>
          <w:szCs w:val="31"/>
        </w:rPr>
        <w:t>要求两部分。</w:t>
      </w:r>
    </w:p>
    <w:p>
      <w:pPr>
        <w:snapToGrid w:val="0"/>
        <w:spacing w:line="600" w:lineRule="exact"/>
        <w:ind w:firstLine="620" w:firstLineChars="200"/>
        <w:rPr>
          <w:rFonts w:hint="eastAsia" w:ascii="仿宋_GB2312" w:eastAsia="仿宋_GB2312" w:cs="仿宋_GB2312"/>
          <w:sz w:val="31"/>
          <w:szCs w:val="31"/>
        </w:rPr>
      </w:pPr>
    </w:p>
    <w:p>
      <w:pPr>
        <w:snapToGrid w:val="0"/>
        <w:spacing w:line="600" w:lineRule="exact"/>
        <w:rPr>
          <w:rFonts w:hint="eastAsia" w:ascii="仿宋" w:hAnsi="仿宋" w:eastAsia="仿宋" w:cs="Arial"/>
          <w:b/>
          <w:bCs/>
          <w:sz w:val="32"/>
          <w:szCs w:val="32"/>
        </w:rPr>
      </w:pPr>
      <w:bookmarkStart w:id="0" w:name="OLE_LINK7"/>
      <w:bookmarkStart w:id="1" w:name="OLE_LINK8"/>
      <w:r>
        <w:rPr>
          <w:rFonts w:hint="eastAsia" w:ascii="仿宋" w:hAnsi="仿宋" w:eastAsia="仿宋" w:cs="Arial"/>
          <w:b/>
          <w:bCs/>
          <w:sz w:val="32"/>
          <w:szCs w:val="32"/>
          <w:lang w:val="en-US" w:eastAsia="zh-CN"/>
        </w:rPr>
        <w:t>一、</w:t>
      </w:r>
      <w:r>
        <w:rPr>
          <w:rFonts w:hint="eastAsia" w:ascii="仿宋" w:hAnsi="仿宋" w:eastAsia="仿宋" w:cs="Arial"/>
          <w:b/>
          <w:bCs/>
          <w:sz w:val="32"/>
          <w:szCs w:val="32"/>
        </w:rPr>
        <w:t>基本引入资质要求</w:t>
      </w:r>
    </w:p>
    <w:bookmarkEnd w:id="0"/>
    <w:bookmarkEnd w:id="1"/>
    <w:p>
      <w:pPr>
        <w:snapToGrid w:val="0"/>
        <w:spacing w:line="600" w:lineRule="exact"/>
        <w:ind w:firstLine="640" w:firstLineChars="200"/>
        <w:rPr>
          <w:rFonts w:ascii="仿宋_GB2312" w:hAnsi="Tw Cen MT" w:eastAsia="仿宋_GB2312" w:cs="仿宋_GB2312"/>
          <w:kern w:val="2"/>
          <w:sz w:val="32"/>
          <w:szCs w:val="32"/>
        </w:rPr>
      </w:pPr>
      <w:r>
        <w:rPr>
          <w:rFonts w:ascii="仿宋_GB2312" w:hAnsi="Tw Cen MT" w:eastAsia="仿宋_GB2312" w:cs="仿宋_GB2312"/>
          <w:kern w:val="2"/>
          <w:sz w:val="32"/>
          <w:szCs w:val="32"/>
        </w:rPr>
        <w:t>1.</w:t>
      </w:r>
      <w:r>
        <w:rPr>
          <w:rFonts w:hint="eastAsia" w:ascii="微软雅黑" w:hAnsi="微软雅黑" w:eastAsia="微软雅黑" w:cstheme="minorBidi"/>
          <w:kern w:val="24"/>
          <w:sz w:val="20"/>
          <w:szCs w:val="20"/>
        </w:rPr>
        <w:t xml:space="preserve"> </w:t>
      </w:r>
      <w:r>
        <w:rPr>
          <w:rFonts w:ascii="仿宋" w:hAnsi="仿宋" w:eastAsia="仿宋"/>
          <w:sz w:val="32"/>
          <w:szCs w:val="32"/>
        </w:rPr>
        <w:t>具备企业法人营业执照、组织机构代码证、税务登记证等相关证照，对已更新资质的企业，可提供三证合一的营业执照。国外企业需提供其具备公司主体资格的证明材料，可包括公司注册证书、章程、资信证明、中国驻当地</w:t>
      </w:r>
      <w:r>
        <w:rPr>
          <w:rFonts w:hint="eastAsia" w:ascii="仿宋" w:hAnsi="仿宋" w:eastAsia="仿宋"/>
          <w:sz w:val="32"/>
          <w:szCs w:val="32"/>
        </w:rPr>
        <w:t>领事馆</w:t>
      </w:r>
      <w:r>
        <w:rPr>
          <w:rFonts w:ascii="仿宋" w:hAnsi="仿宋" w:eastAsia="仿宋"/>
          <w:sz w:val="32"/>
          <w:szCs w:val="32"/>
        </w:rPr>
        <w:t>出具的认证等</w:t>
      </w:r>
      <w:r>
        <w:rPr>
          <w:rFonts w:hint="eastAsia" w:ascii="仿宋_GB2312" w:hAnsi="Tw Cen MT" w:eastAsia="仿宋_GB2312" w:cs="仿宋_GB2312"/>
          <w:kern w:val="2"/>
          <w:sz w:val="32"/>
          <w:szCs w:val="32"/>
        </w:rPr>
        <w:t>。</w:t>
      </w:r>
    </w:p>
    <w:p>
      <w:pPr>
        <w:snapToGrid w:val="0"/>
        <w:spacing w:line="600" w:lineRule="exact"/>
        <w:ind w:firstLine="640" w:firstLineChars="200"/>
        <w:rPr>
          <w:rFonts w:hint="eastAsia" w:ascii="仿宋_GB2312" w:eastAsia="仿宋_GB2312" w:cs="仿宋_GB2312"/>
          <w:sz w:val="31"/>
          <w:szCs w:val="31"/>
        </w:rPr>
      </w:pPr>
      <w:bookmarkStart w:id="2" w:name="OLE_LINK5"/>
      <w:bookmarkStart w:id="3" w:name="OLE_LINK4"/>
      <w:bookmarkStart w:id="4" w:name="OLE_LINK3"/>
      <w:bookmarkStart w:id="5" w:name="OLE_LINK6"/>
      <w:r>
        <w:rPr>
          <w:rFonts w:ascii="仿宋_GB2312" w:hAnsi="Tw Cen MT" w:eastAsia="仿宋_GB2312" w:cs="仿宋_GB2312"/>
          <w:kern w:val="2"/>
          <w:sz w:val="32"/>
          <w:szCs w:val="32"/>
        </w:rPr>
        <w:t>2.</w:t>
      </w:r>
      <w:r>
        <w:rPr>
          <w:rFonts w:hint="eastAsia" w:ascii="仿宋_GB2312" w:hAnsi="Tw Cen MT" w:eastAsia="仿宋_GB2312" w:cs="仿宋_GB2312"/>
          <w:kern w:val="2"/>
          <w:sz w:val="32"/>
          <w:szCs w:val="32"/>
        </w:rPr>
        <w:t>公司</w:t>
      </w:r>
      <w:r>
        <w:rPr>
          <w:rFonts w:ascii="仿宋_GB2312" w:hAnsi="Tw Cen MT" w:eastAsia="仿宋_GB2312" w:cs="仿宋_GB2312"/>
          <w:kern w:val="2"/>
          <w:sz w:val="32"/>
          <w:szCs w:val="32"/>
        </w:rPr>
        <w:t>成立</w:t>
      </w:r>
      <w:r>
        <w:rPr>
          <w:rFonts w:hint="eastAsia" w:ascii="仿宋_GB2312" w:hAnsi="Tw Cen MT" w:eastAsia="仿宋_GB2312" w:cs="仿宋_GB2312"/>
          <w:kern w:val="2"/>
          <w:sz w:val="32"/>
          <w:szCs w:val="32"/>
        </w:rPr>
        <w:t>时间在</w:t>
      </w:r>
      <w:r>
        <w:rPr>
          <w:rFonts w:ascii="仿宋_GB2312" w:hAnsi="Tw Cen MT" w:eastAsia="仿宋_GB2312" w:cs="仿宋_GB2312"/>
          <w:kern w:val="2"/>
          <w:sz w:val="32"/>
          <w:szCs w:val="32"/>
        </w:rPr>
        <w:t>2</w:t>
      </w:r>
      <w:r>
        <w:rPr>
          <w:rFonts w:hint="eastAsia" w:ascii="仿宋_GB2312" w:hAnsi="Tw Cen MT" w:eastAsia="仿宋_GB2312" w:cs="仿宋_GB2312"/>
          <w:kern w:val="2"/>
          <w:sz w:val="32"/>
          <w:szCs w:val="32"/>
        </w:rPr>
        <w:t>年以上，公司注册资本不少于人民币</w:t>
      </w:r>
      <w:r>
        <w:rPr>
          <w:rFonts w:ascii="仿宋_GB2312" w:hAnsi="Tw Cen MT" w:eastAsia="仿宋_GB2312" w:cs="仿宋_GB2312"/>
          <w:kern w:val="2"/>
          <w:sz w:val="32"/>
          <w:szCs w:val="32"/>
        </w:rPr>
        <w:t>50万</w:t>
      </w:r>
      <w:r>
        <w:rPr>
          <w:rFonts w:hint="eastAsia" w:ascii="仿宋_GB2312" w:hAnsi="Tw Cen MT" w:eastAsia="仿宋_GB2312" w:cs="仿宋_GB2312"/>
          <w:kern w:val="2"/>
          <w:sz w:val="32"/>
          <w:szCs w:val="32"/>
        </w:rPr>
        <w:t>元</w:t>
      </w:r>
    </w:p>
    <w:p>
      <w:pPr>
        <w:snapToGrid w:val="0"/>
        <w:spacing w:line="600" w:lineRule="exact"/>
        <w:ind w:firstLine="640" w:firstLineChars="200"/>
        <w:rPr>
          <w:rFonts w:ascii="仿宋_GB2312" w:hAnsi="Tw Cen MT" w:eastAsia="仿宋_GB2312" w:cs="仿宋_GB2312"/>
          <w:kern w:val="2"/>
          <w:sz w:val="32"/>
          <w:szCs w:val="32"/>
        </w:rPr>
      </w:pPr>
      <w:r>
        <w:rPr>
          <w:rFonts w:ascii="仿宋_GB2312" w:hAnsi="Tw Cen MT" w:eastAsia="仿宋_GB2312" w:cs="仿宋_GB2312"/>
          <w:kern w:val="2"/>
          <w:sz w:val="32"/>
          <w:szCs w:val="32"/>
        </w:rPr>
        <w:t>3.</w:t>
      </w:r>
      <w:r>
        <w:rPr>
          <w:rFonts w:ascii="仿宋_GB2312" w:eastAsia="仿宋_GB2312" w:cs="仿宋_GB2312"/>
          <w:sz w:val="31"/>
          <w:szCs w:val="31"/>
        </w:rPr>
        <w:t>近三年</w:t>
      </w:r>
      <w:r>
        <w:rPr>
          <w:rFonts w:hint="eastAsia" w:ascii="仿宋_GB2312" w:hAnsi="Tw Cen MT" w:eastAsia="仿宋_GB2312" w:cs="仿宋_GB2312"/>
          <w:kern w:val="2"/>
          <w:sz w:val="32"/>
          <w:szCs w:val="32"/>
        </w:rPr>
        <w:t>未</w:t>
      </w:r>
      <w:bookmarkStart w:id="6" w:name="_Hlk143763700"/>
      <w:r>
        <w:rPr>
          <w:rFonts w:hint="eastAsia" w:ascii="仿宋_GB2312" w:hAnsi="Tw Cen MT" w:eastAsia="仿宋_GB2312" w:cs="仿宋_GB2312"/>
          <w:kern w:val="2"/>
          <w:sz w:val="32"/>
          <w:szCs w:val="32"/>
        </w:rPr>
        <w:t>被纳</w:t>
      </w:r>
      <w:bookmarkEnd w:id="6"/>
      <w:r>
        <w:rPr>
          <w:rFonts w:hint="eastAsia" w:ascii="仿宋_GB2312" w:hAnsi="Tw Cen MT" w:eastAsia="仿宋_GB2312" w:cs="仿宋_GB2312"/>
          <w:kern w:val="2"/>
          <w:sz w:val="32"/>
          <w:szCs w:val="32"/>
        </w:rPr>
        <w:t>入</w:t>
      </w:r>
      <w:r>
        <w:rPr>
          <w:rFonts w:ascii="仿宋_GB2312" w:hAnsi="Tw Cen MT" w:eastAsia="仿宋_GB2312" w:cs="仿宋_GB2312"/>
          <w:kern w:val="2"/>
          <w:sz w:val="32"/>
          <w:szCs w:val="32"/>
        </w:rPr>
        <w:t>国家企业信用信息公示系统的</w:t>
      </w:r>
      <w:r>
        <w:rPr>
          <w:rFonts w:hint="eastAsia" w:ascii="仿宋_GB2312" w:hAnsi="Tw Cen MT" w:eastAsia="仿宋_GB2312" w:cs="仿宋_GB2312"/>
          <w:kern w:val="2"/>
          <w:sz w:val="32"/>
          <w:szCs w:val="32"/>
        </w:rPr>
        <w:t>严重违法失信企业名单。</w:t>
      </w:r>
    </w:p>
    <w:p>
      <w:pPr>
        <w:snapToGrid w:val="0"/>
        <w:spacing w:line="600" w:lineRule="exact"/>
        <w:ind w:firstLine="640" w:firstLineChars="200"/>
        <w:rPr>
          <w:rFonts w:ascii="仿宋_GB2312" w:hAnsi="Tw Cen MT" w:eastAsia="仿宋_GB2312" w:cs="仿宋_GB2312"/>
          <w:kern w:val="2"/>
          <w:sz w:val="32"/>
          <w:szCs w:val="32"/>
        </w:rPr>
      </w:pPr>
      <w:r>
        <w:rPr>
          <w:rFonts w:hint="eastAsia" w:ascii="仿宋_GB2312" w:hAnsi="Tw Cen MT" w:eastAsia="仿宋_GB2312" w:cs="仿宋_GB2312"/>
          <w:kern w:val="2"/>
          <w:sz w:val="32"/>
          <w:szCs w:val="32"/>
        </w:rPr>
        <w:t>4.未被纳入</w:t>
      </w:r>
      <w:r>
        <w:rPr>
          <w:rFonts w:ascii="仿宋_GB2312" w:hAnsi="Tw Cen MT" w:eastAsia="仿宋_GB2312" w:cs="仿宋_GB2312"/>
          <w:kern w:val="2"/>
          <w:sz w:val="32"/>
          <w:szCs w:val="32"/>
        </w:rPr>
        <w:t>国家企业信用信息公示系统的经营异常名录</w:t>
      </w:r>
      <w:r>
        <w:rPr>
          <w:rFonts w:hint="eastAsia" w:ascii="仿宋_GB2312" w:hAnsi="Tw Cen MT" w:eastAsia="仿宋_GB2312" w:cs="仿宋_GB2312"/>
          <w:kern w:val="2"/>
          <w:sz w:val="32"/>
          <w:szCs w:val="32"/>
        </w:rPr>
        <w:t>。</w:t>
      </w:r>
    </w:p>
    <w:p>
      <w:pPr>
        <w:snapToGrid w:val="0"/>
        <w:spacing w:line="600" w:lineRule="exact"/>
        <w:ind w:firstLine="640" w:firstLineChars="200"/>
        <w:rPr>
          <w:rFonts w:hint="eastAsia" w:ascii="仿宋" w:hAnsi="仿宋" w:eastAsia="仿宋" w:cs="Arial"/>
          <w:sz w:val="32"/>
          <w:szCs w:val="32"/>
        </w:rPr>
      </w:pPr>
      <w:r>
        <w:rPr>
          <w:rFonts w:hint="eastAsia" w:ascii="仿宋_GB2312" w:hAnsi="Tw Cen MT" w:eastAsia="仿宋_GB2312" w:cs="仿宋_GB2312"/>
          <w:kern w:val="2"/>
          <w:sz w:val="32"/>
          <w:szCs w:val="32"/>
        </w:rPr>
        <w:t>5.未列入咪咕公司不良信用名单</w:t>
      </w:r>
      <w:r>
        <w:rPr>
          <w:rFonts w:ascii="仿宋_GB2312" w:eastAsia="仿宋_GB2312" w:cs="仿宋_GB2312"/>
          <w:sz w:val="31"/>
          <w:szCs w:val="31"/>
        </w:rPr>
        <w:t>，并符合公司“关注名单库”相关管理要求</w:t>
      </w:r>
      <w:r>
        <w:rPr>
          <w:rFonts w:hint="eastAsia" w:ascii="仿宋_GB2312" w:hAnsi="Tw Cen MT" w:eastAsia="仿宋_GB2312" w:cs="仿宋_GB2312"/>
          <w:kern w:val="2"/>
          <w:sz w:val="32"/>
          <w:szCs w:val="32"/>
        </w:rPr>
        <w:t>。</w:t>
      </w:r>
      <w:bookmarkEnd w:id="2"/>
      <w:bookmarkEnd w:id="3"/>
      <w:bookmarkEnd w:id="4"/>
      <w:bookmarkEnd w:id="5"/>
      <w:r>
        <w:rPr>
          <w:rFonts w:hint="eastAsia" w:ascii="仿宋" w:hAnsi="仿宋" w:eastAsia="仿宋"/>
          <w:sz w:val="32"/>
          <w:szCs w:val="32"/>
        </w:rPr>
        <w:t>6个月内无本合作引入</w:t>
      </w:r>
      <w:r>
        <w:rPr>
          <w:rFonts w:hint="eastAsia" w:ascii="仿宋" w:hAnsi="仿宋" w:eastAsia="仿宋" w:cs="Arial"/>
          <w:sz w:val="32"/>
          <w:szCs w:val="32"/>
        </w:rPr>
        <w:t>测试不通过的记录。</w:t>
      </w:r>
    </w:p>
    <w:p>
      <w:pPr>
        <w:rPr>
          <w:rFonts w:ascii="黑体" w:hAnsi="黑体" w:eastAsia="黑体" w:cs="黑体"/>
          <w:color w:val="000000"/>
          <w:kern w:val="0"/>
          <w:sz w:val="32"/>
          <w:szCs w:val="32"/>
          <w:lang w:val="en-US" w:eastAsia="zh-CN" w:bidi="ar"/>
        </w:rPr>
      </w:pPr>
    </w:p>
    <w:p>
      <w:pPr>
        <w:pStyle w:val="10"/>
        <w:numPr>
          <w:ilvl w:val="0"/>
          <w:numId w:val="0"/>
        </w:numPr>
        <w:spacing w:line="600" w:lineRule="exact"/>
        <w:outlineLvl w:val="0"/>
        <w:rPr>
          <w:rFonts w:hint="eastAsia" w:ascii="仿宋_GB2312" w:hAnsi="Calibri" w:eastAsia="仿宋_GB2312"/>
          <w:bCs/>
          <w:kern w:val="2"/>
          <w:sz w:val="32"/>
          <w:szCs w:val="32"/>
          <w:lang w:val="en-US" w:eastAsia="zh-CN"/>
        </w:rPr>
      </w:pPr>
    </w:p>
    <w:p>
      <w:pPr>
        <w:pStyle w:val="10"/>
        <w:numPr>
          <w:ilvl w:val="0"/>
          <w:numId w:val="0"/>
        </w:numPr>
        <w:spacing w:line="600" w:lineRule="exact"/>
        <w:outlineLvl w:val="0"/>
        <w:rPr>
          <w:rFonts w:hint="eastAsia" w:ascii="仿宋_GB2312" w:hAnsi="Calibri" w:eastAsia="仿宋_GB2312"/>
          <w:bCs/>
          <w:kern w:val="2"/>
          <w:sz w:val="32"/>
          <w:szCs w:val="32"/>
          <w:lang w:val="en-US" w:eastAsia="zh-CN"/>
        </w:rPr>
      </w:pPr>
    </w:p>
    <w:p>
      <w:pPr>
        <w:pStyle w:val="10"/>
        <w:numPr>
          <w:ilvl w:val="0"/>
          <w:numId w:val="0"/>
        </w:numPr>
        <w:spacing w:line="600" w:lineRule="exact"/>
        <w:outlineLvl w:val="0"/>
        <w:rPr>
          <w:rFonts w:ascii="仿宋_GB2312" w:hAnsi="Calibri" w:eastAsia="仿宋_GB2312"/>
          <w:bCs/>
          <w:kern w:val="2"/>
          <w:sz w:val="32"/>
          <w:szCs w:val="32"/>
        </w:rPr>
      </w:pPr>
      <w:r>
        <w:rPr>
          <w:rFonts w:hint="eastAsia" w:ascii="仿宋_GB2312" w:hAnsi="Calibri" w:eastAsia="仿宋_GB2312"/>
          <w:bCs/>
          <w:kern w:val="2"/>
          <w:sz w:val="32"/>
          <w:szCs w:val="32"/>
          <w:lang w:val="en-US" w:eastAsia="zh-CN"/>
        </w:rPr>
        <w:t>二、</w:t>
      </w:r>
      <w:r>
        <w:rPr>
          <w:rFonts w:hint="eastAsia" w:ascii="仿宋_GB2312" w:hAnsi="Calibri" w:eastAsia="仿宋_GB2312"/>
          <w:bCs/>
          <w:kern w:val="2"/>
          <w:sz w:val="32"/>
          <w:szCs w:val="32"/>
        </w:rPr>
        <w:t>专业能力要求</w:t>
      </w:r>
    </w:p>
    <w:tbl>
      <w:tblPr>
        <w:tblStyle w:val="4"/>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spacing w:line="600" w:lineRule="exact"/>
              <w:jc w:val="center"/>
              <w:rPr>
                <w:rFonts w:ascii="仿宋_GB2312" w:hAnsi="Calibri" w:eastAsia="仿宋_GB2312"/>
                <w:sz w:val="28"/>
                <w:szCs w:val="28"/>
              </w:rPr>
            </w:pPr>
            <w:r>
              <w:rPr>
                <w:rFonts w:hint="eastAsia" w:ascii="仿宋_GB2312" w:hAnsi="Calibri" w:eastAsia="仿宋_GB2312"/>
                <w:sz w:val="28"/>
                <w:szCs w:val="28"/>
              </w:rPr>
              <w:t>类型</w:t>
            </w:r>
          </w:p>
        </w:tc>
        <w:tc>
          <w:tcPr>
            <w:tcW w:w="7938" w:type="dxa"/>
          </w:tcPr>
          <w:p>
            <w:pPr>
              <w:spacing w:line="600" w:lineRule="exact"/>
              <w:jc w:val="center"/>
              <w:rPr>
                <w:rFonts w:ascii="仿宋_GB2312" w:hAnsi="Calibri" w:eastAsia="仿宋_GB2312"/>
                <w:sz w:val="28"/>
                <w:szCs w:val="28"/>
              </w:rPr>
            </w:pPr>
            <w:r>
              <w:rPr>
                <w:rFonts w:hint="eastAsia" w:ascii="仿宋_GB2312" w:hAnsi="Calibri" w:eastAsia="仿宋_GB2312"/>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spacing w:line="600" w:lineRule="exact"/>
              <w:jc w:val="center"/>
              <w:rPr>
                <w:rFonts w:ascii="仿宋_GB2312" w:hAnsi="Calibri" w:eastAsia="仿宋_GB2312"/>
                <w:sz w:val="28"/>
                <w:szCs w:val="28"/>
              </w:rPr>
            </w:pPr>
            <w:r>
              <w:rPr>
                <w:rFonts w:hint="eastAsia" w:ascii="仿宋_GB2312" w:hAnsi="Calibri" w:eastAsia="仿宋_GB2312"/>
                <w:sz w:val="28"/>
                <w:szCs w:val="28"/>
              </w:rPr>
              <w:t>B类</w:t>
            </w:r>
          </w:p>
        </w:tc>
        <w:tc>
          <w:tcPr>
            <w:tcW w:w="7938" w:type="dxa"/>
          </w:tcPr>
          <w:p>
            <w:pPr>
              <w:spacing w:line="360" w:lineRule="auto"/>
              <w:rPr>
                <w:rFonts w:ascii="仿宋_GB2312" w:hAnsi="Calibri" w:eastAsia="仿宋_GB2312"/>
                <w:sz w:val="28"/>
                <w:szCs w:val="28"/>
              </w:rPr>
            </w:pPr>
            <w:r>
              <w:rPr>
                <w:rFonts w:hint="eastAsia" w:ascii="仿宋_GB2312" w:hAnsi="Calibri" w:eastAsia="仿宋_GB2312"/>
                <w:sz w:val="28"/>
                <w:szCs w:val="28"/>
              </w:rPr>
              <w:t>1、必须符合以下条件：</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注册资金不低于100万元人民币；</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具备增值税一般纳税人资格;</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经营范围至少包含以下一项:第二类增值电信业务，电信增值业务，增值电信服务，移动电信业务代理服务，电信业务代理，代理电信业务，移动业务代理，移动电信服务，电信业务，经营电信业务，销售代理；</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具备巨量引擎或磁力引擎账户信息;</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业务系统具备二级或三级公安等信息安全监管部门颁发的信息系统安全认证。</w:t>
            </w:r>
          </w:p>
          <w:p>
            <w:pPr>
              <w:pStyle w:val="11"/>
              <w:numPr>
                <w:ilvl w:val="255"/>
                <w:numId w:val="0"/>
              </w:numPr>
              <w:spacing w:line="360" w:lineRule="auto"/>
              <w:rPr>
                <w:rFonts w:ascii="仿宋_GB2312" w:hAnsi="Calibri" w:eastAsia="仿宋_GB2312"/>
                <w:sz w:val="28"/>
                <w:szCs w:val="28"/>
              </w:rPr>
            </w:pPr>
            <w:r>
              <w:rPr>
                <w:rFonts w:hint="eastAsia" w:ascii="仿宋_GB2312" w:hAnsi="Calibri" w:eastAsia="仿宋_GB2312"/>
                <w:sz w:val="28"/>
                <w:szCs w:val="28"/>
              </w:rPr>
              <w:t>2、以下条件二选一：</w:t>
            </w:r>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在2年内有中国移动省公司渠道推广合作，总结算金额不低于200万元（以运营商盖章结算报表或结算发票为准，并附合同关键页）</w:t>
            </w:r>
            <w:r>
              <w:rPr>
                <w:rFonts w:hint="eastAsia" w:ascii="仿宋_GB2312" w:hAnsi="Calibri" w:eastAsia="仿宋_GB2312"/>
                <w:sz w:val="28"/>
                <w:szCs w:val="28"/>
                <w:lang w:eastAsia="zh-CN"/>
              </w:rPr>
              <w:t>。</w:t>
            </w:r>
            <w:bookmarkStart w:id="7" w:name="_GoBack"/>
            <w:bookmarkEnd w:id="7"/>
          </w:p>
          <w:p>
            <w:pPr>
              <w:pStyle w:val="11"/>
              <w:numPr>
                <w:ilvl w:val="0"/>
                <w:numId w:val="2"/>
              </w:numPr>
              <w:spacing w:line="360" w:lineRule="auto"/>
              <w:ind w:firstLineChars="0"/>
              <w:rPr>
                <w:rFonts w:ascii="仿宋_GB2312" w:hAnsi="Calibri" w:eastAsia="仿宋_GB2312"/>
                <w:sz w:val="28"/>
                <w:szCs w:val="28"/>
              </w:rPr>
            </w:pPr>
            <w:r>
              <w:rPr>
                <w:rFonts w:hint="eastAsia" w:ascii="仿宋_GB2312" w:hAnsi="Calibri" w:eastAsia="仿宋_GB2312"/>
                <w:sz w:val="28"/>
                <w:szCs w:val="28"/>
              </w:rPr>
              <w:t>提供【近6个月内任一单月】的投流记录，平台投放金额需大于</w:t>
            </w:r>
            <w:r>
              <w:rPr>
                <w:rFonts w:ascii="仿宋_GB2312" w:hAnsi="Calibri" w:eastAsia="仿宋_GB2312"/>
                <w:sz w:val="28"/>
                <w:szCs w:val="28"/>
              </w:rPr>
              <w:t>60</w:t>
            </w:r>
            <w:r>
              <w:rPr>
                <w:rFonts w:hint="eastAsia" w:ascii="仿宋_GB2312" w:hAnsi="Calibri" w:eastAsia="仿宋_GB2312"/>
                <w:sz w:val="28"/>
                <w:szCs w:val="28"/>
              </w:rPr>
              <w:t>万元。</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ongti sc">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w Cen MT">
    <w:panose1 w:val="020B0602020104020603"/>
    <w:charset w:val="00"/>
    <w:family w:val="swiss"/>
    <w:pitch w:val="default"/>
    <w:sig w:usb0="00000003" w:usb1="00000000" w:usb2="00000000" w:usb3="00000000" w:csb0="2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AE745C"/>
    <w:multiLevelType w:val="multilevel"/>
    <w:tmpl w:val="0AAE745C"/>
    <w:lvl w:ilvl="0" w:tentative="0">
      <w:start w:val="1"/>
      <w:numFmt w:val="japaneseCounting"/>
      <w:pStyle w:val="10"/>
      <w:lvlText w:val="第%1条"/>
      <w:lvlJc w:val="left"/>
      <w:pPr>
        <w:tabs>
          <w:tab w:val="left" w:pos="709"/>
        </w:tabs>
        <w:ind w:left="0" w:firstLine="420"/>
      </w:pPr>
      <w:rPr>
        <w:rFonts w:hint="eastAsia" w:ascii="楷体" w:hAnsi="楷体" w:eastAsia="楷体" w:cstheme="majorEastAsia"/>
        <w:b/>
        <w:sz w:val="32"/>
        <w:szCs w:val="32"/>
        <w:lang w:val="en-US"/>
      </w:rPr>
    </w:lvl>
    <w:lvl w:ilvl="1" w:tentative="0">
      <w:start w:val="1"/>
      <w:numFmt w:val="upperLetter"/>
      <w:lvlText w:val="%2."/>
      <w:lvlJc w:val="left"/>
      <w:pPr>
        <w:tabs>
          <w:tab w:val="left" w:pos="844"/>
        </w:tabs>
        <w:ind w:left="844" w:hanging="425"/>
      </w:pPr>
      <w:rPr>
        <w:rFonts w:hint="eastAsia"/>
      </w:rPr>
    </w:lvl>
    <w:lvl w:ilvl="2" w:tentative="0">
      <w:start w:val="1"/>
      <w:numFmt w:val="decimal"/>
      <w:lvlText w:val="%3."/>
      <w:lvlJc w:val="left"/>
      <w:pPr>
        <w:tabs>
          <w:tab w:val="left" w:pos="988"/>
        </w:tabs>
        <w:ind w:left="988" w:hanging="426"/>
      </w:pPr>
      <w:rPr>
        <w:rFonts w:hint="eastAsia"/>
      </w:rPr>
    </w:lvl>
    <w:lvl w:ilvl="3" w:tentative="0">
      <w:start w:val="1"/>
      <w:numFmt w:val="lowerLetter"/>
      <w:lvlText w:val="%4."/>
      <w:lvlJc w:val="left"/>
      <w:pPr>
        <w:tabs>
          <w:tab w:val="left" w:pos="1553"/>
        </w:tabs>
        <w:ind w:left="1553" w:hanging="283"/>
      </w:pPr>
      <w:rPr>
        <w:rFonts w:hint="eastAsia"/>
      </w:rPr>
    </w:lvl>
    <w:lvl w:ilvl="4" w:tentative="0">
      <w:start w:val="1"/>
      <w:numFmt w:val="decimal"/>
      <w:lvlText w:val="%5."/>
      <w:lvlJc w:val="left"/>
      <w:pPr>
        <w:tabs>
          <w:tab w:val="left" w:pos="1978"/>
        </w:tabs>
        <w:ind w:left="1978" w:hanging="425"/>
      </w:pPr>
      <w:rPr>
        <w:rFonts w:hint="eastAsia"/>
      </w:rPr>
    </w:lvl>
    <w:lvl w:ilvl="5" w:tentative="0">
      <w:start w:val="1"/>
      <w:numFmt w:val="lowerLetter"/>
      <w:lvlText w:val="%6."/>
      <w:lvlJc w:val="left"/>
      <w:pPr>
        <w:tabs>
          <w:tab w:val="left" w:pos="2403"/>
        </w:tabs>
        <w:ind w:left="2403" w:hanging="425"/>
      </w:pPr>
      <w:rPr>
        <w:rFonts w:hint="eastAsia"/>
      </w:rPr>
    </w:lvl>
    <w:lvl w:ilvl="6" w:tentative="0">
      <w:start w:val="1"/>
      <w:numFmt w:val="lowerRoman"/>
      <w:lvlText w:val="%7."/>
      <w:lvlJc w:val="left"/>
      <w:pPr>
        <w:tabs>
          <w:tab w:val="left" w:pos="2829"/>
        </w:tabs>
        <w:ind w:left="2829" w:hanging="426"/>
      </w:pPr>
      <w:rPr>
        <w:rFonts w:hint="eastAsia"/>
      </w:rPr>
    </w:lvl>
    <w:lvl w:ilvl="7" w:tentative="0">
      <w:start w:val="1"/>
      <w:numFmt w:val="lowerLetter"/>
      <w:lvlText w:val="%8."/>
      <w:lvlJc w:val="left"/>
      <w:pPr>
        <w:tabs>
          <w:tab w:val="left" w:pos="3254"/>
        </w:tabs>
        <w:ind w:left="3254" w:hanging="425"/>
      </w:pPr>
      <w:rPr>
        <w:rFonts w:hint="eastAsia"/>
      </w:rPr>
    </w:lvl>
    <w:lvl w:ilvl="8" w:tentative="0">
      <w:start w:val="1"/>
      <w:numFmt w:val="lowerRoman"/>
      <w:lvlText w:val="%9."/>
      <w:lvlJc w:val="left"/>
      <w:pPr>
        <w:tabs>
          <w:tab w:val="left" w:pos="3679"/>
        </w:tabs>
        <w:ind w:left="3679" w:hanging="425"/>
      </w:pPr>
      <w:rPr>
        <w:rFonts w:hint="eastAsia"/>
      </w:rPr>
    </w:lvl>
  </w:abstractNum>
  <w:abstractNum w:abstractNumId="1">
    <w:nsid w:val="2A9E1A4E"/>
    <w:multiLevelType w:val="multilevel"/>
    <w:tmpl w:val="2A9E1A4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FF9ADA"/>
    <w:rsid w:val="4AFE3985"/>
    <w:rsid w:val="6BDFE391"/>
    <w:rsid w:val="6FFF9ADA"/>
    <w:rsid w:val="71CB64E3"/>
    <w:rsid w:val="763C396E"/>
    <w:rsid w:val="769CB12A"/>
    <w:rsid w:val="7EF3F7FA"/>
    <w:rsid w:val="A7FB78F7"/>
    <w:rsid w:val="FBAED840"/>
    <w:rsid w:val="FEBFF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1"/>
    <w:basedOn w:val="1"/>
    <w:uiPriority w:val="0"/>
    <w:pPr>
      <w:spacing w:before="0" w:beforeAutospacing="0" w:after="0" w:afterAutospacing="0"/>
      <w:ind w:left="0" w:right="0"/>
      <w:jc w:val="left"/>
    </w:pPr>
    <w:rPr>
      <w:rFonts w:ascii="仿宋_GB2312" w:hAnsi="仿宋_GB2312" w:eastAsia="仿宋_GB2312" w:cs="仿宋_GB2312"/>
      <w:color w:val="000000"/>
      <w:kern w:val="0"/>
      <w:sz w:val="32"/>
      <w:szCs w:val="32"/>
      <w:lang w:val="en-US" w:eastAsia="zh-CN" w:bidi="ar"/>
    </w:rPr>
  </w:style>
  <w:style w:type="character" w:customStyle="1" w:styleId="7">
    <w:name w:val="s1"/>
    <w:basedOn w:val="5"/>
    <w:uiPriority w:val="0"/>
    <w:rPr>
      <w:rFonts w:ascii="楷体_GB2312" w:hAnsi="楷体_GB2312" w:eastAsia="楷体_GB2312" w:cs="楷体_GB2312"/>
      <w:sz w:val="32"/>
      <w:szCs w:val="32"/>
    </w:rPr>
  </w:style>
  <w:style w:type="character" w:customStyle="1" w:styleId="8">
    <w:name w:val="font11"/>
    <w:basedOn w:val="5"/>
    <w:qFormat/>
    <w:uiPriority w:val="0"/>
    <w:rPr>
      <w:rFonts w:hint="eastAsia" w:ascii="宋体" w:hAnsi="宋体" w:eastAsia="宋体" w:cs="宋体"/>
      <w:color w:val="000000"/>
      <w:sz w:val="20"/>
      <w:szCs w:val="20"/>
      <w:u w:val="none"/>
    </w:rPr>
  </w:style>
  <w:style w:type="paragraph" w:customStyle="1" w:styleId="9">
    <w:name w:val="p2"/>
    <w:basedOn w:val="1"/>
    <w:qFormat/>
    <w:uiPriority w:val="0"/>
    <w:pPr>
      <w:spacing w:before="0" w:beforeAutospacing="0" w:after="0" w:afterAutospacing="0"/>
      <w:ind w:left="0" w:right="0"/>
      <w:jc w:val="left"/>
    </w:pPr>
    <w:rPr>
      <w:rFonts w:ascii="songti sc" w:hAnsi="songti sc" w:eastAsia="songti sc" w:cs="songti sc"/>
      <w:color w:val="000000"/>
      <w:kern w:val="0"/>
      <w:sz w:val="18"/>
      <w:szCs w:val="18"/>
      <w:lang w:val="en-US" w:eastAsia="zh-CN" w:bidi="ar"/>
    </w:rPr>
  </w:style>
  <w:style w:type="paragraph" w:customStyle="1" w:styleId="10">
    <w:name w:val="测试项"/>
    <w:basedOn w:val="1"/>
    <w:qFormat/>
    <w:uiPriority w:val="0"/>
    <w:pPr>
      <w:numPr>
        <w:ilvl w:val="0"/>
        <w:numId w:val="1"/>
      </w:numPr>
      <w:overflowPunct w:val="0"/>
      <w:autoSpaceDE w:val="0"/>
      <w:autoSpaceDN w:val="0"/>
      <w:adjustRightInd w:val="0"/>
      <w:spacing w:line="360" w:lineRule="auto"/>
      <w:textAlignment w:val="baseline"/>
    </w:pPr>
    <w:rPr>
      <w:rFonts w:ascii="Times New Roman" w:hAnsi="Times New Roman" w:cs="Times New Roman"/>
      <w:b/>
      <w:sz w:val="21"/>
      <w:szCs w:val="20"/>
    </w:rPr>
  </w:style>
  <w:style w:type="paragraph" w:styleId="11">
    <w:name w:val="List Paragraph"/>
    <w:basedOn w:val="1"/>
    <w:qFormat/>
    <w:uiPriority w:val="34"/>
    <w:pPr>
      <w:widowControl w:val="0"/>
      <w:ind w:firstLine="420" w:firstLineChars="20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2026-07-10T01:42:00Z</dcterms:created>
  <dc:creator>罗宁</dc:creator>
  <cp:lastModifiedBy>jingmingxin@mg.cmcc</cp:lastModifiedBy>
  <dcterms:modified xsi:type="dcterms:W3CDTF">2026-10-14T01:54:47Z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42193F9F280F05B6FEAA4D6AB519C446_41</vt:lpwstr>
  </property>
</Properties>
</file>