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before="240" w:after="120"/>
        <w:jc w:val="center"/>
      </w:pPr>
      <w:r>
        <w:rPr>
          <w:rFonts w:ascii="Arial Unicode MS" w:hAnsi="Arial Unicode MS" w:eastAsia="Arial Unicode MS" w:cs="Arial Unicode MS" w:hint="eastAsia"/>
          <w:b/>
          <w:color w:val="0B2545"/>
          <w:sz w:val="42"/>
          <w:lang w:val="en-US" w:eastAsia="zh-CN" w:bidi="ar"/>
          <w:szCs w:val="42"/>
        </w:rPr>
        <w:t>附件3 渠道合作赛道准入标准及证明材料清单</w:t>
      </w:r>
    </w:p>
    <w:p>
      <w:pPr>
        <w:spacing w:after="280"/>
        <w:jc w:val="center"/>
      </w:pPr>
      <w:r>
        <w:rPr>
          <w:rFonts w:ascii="Arial Unicode MS" w:hAnsi="Arial Unicode MS" w:eastAsia="Arial Unicode MS" w:cs="Arial Unicode MS" w:hint="eastAsia"/>
          <w:color w:val="5F6B7A"/>
          <w:sz w:val="23"/>
          <w:lang w:val="en-US" w:eastAsia="zh-CN" w:bidi="ar"/>
          <w:szCs w:val="23"/>
        </w:rPr>
        <w:t>明星产品渠道合作伙伴专项甄选</w:t>
      </w: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510"/>
        <w:gridCol w:w="4510"/>
      </w:tblGrid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版本：V1.0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日期：2026年8月24日</w:t>
            </w:r>
          </w:p>
        </w:tc>
      </w:tr>
      <w:tr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文件属性：公告附件3</w:t>
            </w:r>
          </w:p>
        </w:tc>
        <w:tc>
          <w:tcPr>
            <w:tcW w:type="dxa" w:w="451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8FAFC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color w:val="5F6B7A"/>
                <w:sz w:val="18"/>
                <w:lang w:val="en-US" w:eastAsia="zh-CN" w:bidi="ar"/>
                <w:szCs w:val="18"/>
              </w:rPr>
              <w:t>业务范围：明星全曲包及相关融合权益</w:t>
            </w:r>
          </w:p>
        </w:tc>
      </w:tr>
    </w:tbl>
    <w:p>
      <w:pPr>
        <w:spacing w:after="0"/>
      </w:pPr>
    </w:p>
    <w:tbl>
      <w:tblPr>
        <w:tblStyle w:val="TableGrid"/>
        <w:tblW w:type="dxa" w:w="902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9020"/>
      </w:tblGrid>
      <w:tr>
        <w:tc>
          <w:tcPr>
            <w:tcW w:type="dxa" w:w="90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8EEF5"/>
          </w:tcPr>
          <w:p>
            <w:pPr>
              <w:spacing w:after="0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1F4D78"/>
                <w:sz w:val="21"/>
                <w:lang w:val="en-US" w:eastAsia="zh-CN" w:bidi="ar"/>
                <w:szCs w:val="21"/>
              </w:rPr>
              <w:t>主体要求：</w:t>
            </w:r>
            <w:r>
              <w:rPr>
                <w:rFonts w:ascii="Arial Unicode MS" w:hAnsi="Arial Unicode MS" w:eastAsia="Arial Unicode MS" w:cs="Arial Unicode MS" w:hint="eastAsia"/>
                <w:color w:val="0B2545"/>
                <w:sz w:val="21"/>
                <w:lang w:val="en-US" w:eastAsia="zh-CN" w:bidi="ar"/>
                <w:szCs w:val="21"/>
              </w:rPr>
              <w:t>申报主体应为已正式接入咪咕音乐渠道合作体系的企业。明星后援会、校园社群等可作为申报方掌握或合作运营的渠道资源，但不直接替代企业申报主体。</w:t>
            </w:r>
          </w:p>
        </w:tc>
      </w:tr>
    </w:tbl>
    <w:p>
      <w:pPr>
        <w:spacing w:after="0"/>
      </w:pPr>
    </w:p>
    <w:p>
      <w:pPr>
        <w:pStyle w:val="2"/>
      </w:pPr>
      <w:r>
        <w:t>一、基础要求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签署有效的咪咕音乐数字产品销售或同类渠道合作协议。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具备真实、稳定、可持续使用的一类以上目标渠道资源，并可接受后台数据或合作关系核验。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具备规范宣传、用户授权、订购确认、售后服务、投诉处理和数据回传能力。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承诺配合用户到端、联合运营及每三个月滚动考核。</w:t>
      </w:r>
    </w:p>
    <w:p>
      <w:pPr>
        <w:pStyle w:val="2"/>
      </w:pPr>
      <w:r>
        <w:t>二、渠道类型与准入标准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500"/>
        <w:gridCol w:w="1300"/>
        <w:gridCol w:w="1500"/>
        <w:gridCol w:w="3300"/>
        <w:gridCol w:w="2420"/>
      </w:tblGrid>
      <w:tr>
        <w:trPr>
          <w:tblHeader w:val="true"/>
        </w:trPr>
        <w:tc>
          <w:tcPr>
            <w:tcW w:type="dxa" w:w="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类型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板块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典型资源</w:t>
            </w:r>
          </w:p>
        </w:tc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准入标准</w:t>
            </w:r>
          </w:p>
        </w:tc>
        <w:tc>
          <w:tcPr>
            <w:tcW w:type="dxa" w:w="2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5"/>
                <w:lang w:val="en-US" w:eastAsia="zh-CN" w:bidi="ar"/>
                <w:szCs w:val="15"/>
              </w:rPr>
              <w:t>主要证明</w:t>
            </w:r>
          </w:p>
        </w:tc>
      </w:tr>
      <w:tr>
        <w:tc>
          <w:tcPr>
            <w:tcW w:type="dxa" w:w="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A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粉丝核心圈层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明星后援会、粉丝站、超话运营组织</w:t>
            </w:r>
          </w:p>
        </w:tc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具有官方认证或粉丝群体公认身份；核心成员不少于50人；有效覆盖粉丝不少于5000人；每季度至少组织1次明星相关活动。</w:t>
            </w:r>
          </w:p>
        </w:tc>
        <w:tc>
          <w:tcPr>
            <w:tcW w:type="dxa" w:w="2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组织主页/认证、管理身份、成员与覆盖证明、近一年活动记录、合作授权或协议</w:t>
            </w:r>
          </w:p>
        </w:tc>
      </w:tr>
      <w:tr>
        <w:tc>
          <w:tcPr>
            <w:tcW w:type="dxa" w:w="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B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内容社交圈层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垂直MCN、KOL/KOC工作室</w:t>
            </w:r>
          </w:p>
        </w:tc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签约或稳定合作达人不少于3位，单账号粉丝不少于10万；近3个月平均视频播放量不少于1万，互动率不低于5%。</w:t>
            </w:r>
          </w:p>
        </w:tc>
        <w:tc>
          <w:tcPr>
            <w:tcW w:type="dxa" w:w="2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达人清单、合作证明、平台后台截图、计算表及代表内容链接</w:t>
            </w:r>
          </w:p>
        </w:tc>
      </w:tr>
      <w:tr>
        <w:tc>
          <w:tcPr>
            <w:tcW w:type="dxa" w:w="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C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校园与青年社区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校园社群、潮流文化/动漫社区</w:t>
            </w:r>
          </w:p>
        </w:tc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实际覆盖高校不少于2所；具备线下落地能力，每学期至少可完成1场校园推广活动。</w:t>
            </w:r>
          </w:p>
        </w:tc>
        <w:tc>
          <w:tcPr>
            <w:tcW w:type="dxa" w:w="2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学校及社群清单、负责人/合作关系、活动案例、场地或校方协调能力证明</w:t>
            </w:r>
          </w:p>
        </w:tc>
      </w:tr>
      <w:tr>
        <w:tc>
          <w:tcPr>
            <w:tcW w:type="dxa" w:w="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D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品质生活场景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音频/数码零售、Livehouse、影院等</w:t>
            </w:r>
          </w:p>
        </w:tc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提供真实经营场所及可配置资源位；单店或场地月均客流不少于1000人次；每季度至少配合1次联合体验或推广活动。</w:t>
            </w:r>
          </w:p>
        </w:tc>
        <w:tc>
          <w:tcPr>
            <w:tcW w:type="dxa" w:w="24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5"/>
                <w:lang w:val="en-US" w:eastAsia="zh-CN" w:bidi="ar"/>
                <w:szCs w:val="15"/>
              </w:rPr>
              <w:t>门店/场地清单、经营或合作证明、客流统计、资源位照片及活动案例</w:t>
            </w:r>
          </w:p>
        </w:tc>
      </w:tr>
    </w:tbl>
    <w:p>
      <w:pPr>
        <w:spacing w:after="0"/>
      </w:pPr>
    </w:p>
    <w:p>
      <w:pPr>
        <w:pStyle w:val="2"/>
      </w:pPr>
      <w:r>
        <w:t>三、指标口径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1900"/>
        <w:gridCol w:w="7120"/>
      </w:tblGrid>
      <w:tr>
        <w:trPr>
          <w:tblHeader w:val="true"/>
        </w:trPr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指标</w:t>
            </w:r>
          </w:p>
        </w:tc>
        <w:tc>
          <w:tcPr>
            <w:tcW w:type="dxa" w:w="7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统一口径</w:t>
            </w:r>
          </w:p>
        </w:tc>
      </w:tr>
      <w:tr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核心成员</w:t>
            </w:r>
          </w:p>
        </w:tc>
        <w:tc>
          <w:tcPr>
            <w:tcW w:type="dxa" w:w="7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实际参与日常运营、活动组织或用户服务的稳定成员，不含仅加入群聊的普通成员。</w:t>
            </w:r>
          </w:p>
        </w:tc>
      </w:tr>
      <w:tr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有效覆盖</w:t>
            </w:r>
          </w:p>
        </w:tc>
        <w:tc>
          <w:tcPr>
            <w:tcW w:type="dxa" w:w="7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申报方可通过自有账号、社群或活动直接触达的人数；应剔除明显僵尸、重复或无法验证用户。</w:t>
            </w:r>
          </w:p>
        </w:tc>
      </w:tr>
      <w:tr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平均播放量</w:t>
            </w:r>
          </w:p>
        </w:tc>
        <w:tc>
          <w:tcPr>
            <w:tcW w:type="dxa" w:w="7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近3个完整自然月发布的有效视频播放量之和÷有效视频数量；删除、投流和异常内容应单列说明。</w:t>
            </w:r>
          </w:p>
        </w:tc>
      </w:tr>
      <w:tr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互动率</w:t>
            </w:r>
          </w:p>
        </w:tc>
        <w:tc>
          <w:tcPr>
            <w:tcW w:type="dxa" w:w="7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（点赞数+评论数+转发数）÷播放量×100%，按近3个完整自然月汇总计算，并提供明细。</w:t>
            </w:r>
          </w:p>
        </w:tc>
      </w:tr>
      <w:tr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月均客流</w:t>
            </w:r>
          </w:p>
        </w:tc>
        <w:tc>
          <w:tcPr>
            <w:tcW w:type="dxa" w:w="7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最近连续3个自然月实际进店或到场人次平均值；统计方式和数据来源应保持一致。</w:t>
            </w:r>
          </w:p>
        </w:tc>
      </w:tr>
      <w:tr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联合活动</w:t>
            </w:r>
          </w:p>
        </w:tc>
        <w:tc>
          <w:tcPr>
            <w:tcW w:type="dxa" w:w="7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具有明确主题、执行记录、用户参与及效果数据的线上或线下活动，不含仅转发物料。</w:t>
            </w:r>
          </w:p>
        </w:tc>
      </w:tr>
    </w:tbl>
    <w:p>
      <w:pPr>
        <w:spacing w:after="0"/>
      </w:pPr>
    </w:p>
    <w:p>
      <w:pPr>
        <w:pStyle w:val="2"/>
      </w:pPr>
      <w:r>
        <w:t>四、专业评审维度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资源真实性与控制力：资源归属、合作期限、可配置位置和后台核验能力。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目标人群匹配度：明星粉丝、年轻用户、音乐兴趣及潜在付费能力。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执行与转化能力：活动策划、内容传播、订购转化、用户到端和数据复盘。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合规与服务能力：宣传口径、订购确认、个人信息、投诉处理和风险管理。</w:t>
      </w:r>
    </w:p>
    <w:p>
      <w:pPr>
        <w:pStyle w:val="ListBullet"/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持续经营能力：团队、区域覆盖、季度资源承诺和历史履约表现。</w:t>
      </w:r>
    </w:p>
    <w:p>
      <w:pPr>
        <w:pStyle w:val="2"/>
      </w:pPr>
      <w:r>
        <w:t>五、合作后的滚动考核</w:t>
      </w:r>
    </w:p>
    <w:tbl>
      <w:tblPr>
        <w:tblStyle w:val="TableGrid"/>
        <w:tblW w:type="dxa" w:w="902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300"/>
        <w:gridCol w:w="1000"/>
        <w:gridCol w:w="5720"/>
      </w:tblGrid>
      <w:tr>
        <w:trPr>
          <w:tblHeader w:val="true"/>
        </w:trPr>
        <w:tc>
          <w:tcPr>
            <w:tcW w:type="dxa" w:w="2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考核模块</w:t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分值</w:t>
            </w:r>
          </w:p>
        </w:tc>
        <w:tc>
          <w:tcPr>
            <w:tcW w:type="dxa" w:w="57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before="0" w:after="0" w:line="259" w:lineRule="auto"/>
              <w:jc w:val="center"/>
            </w:pPr>
            <w:r/>
            <w:r>
              <w:rPr>
                <w:rFonts w:ascii="Arial Unicode MS" w:hAnsi="Arial Unicode MS" w:eastAsia="Arial Unicode MS" w:cs="Arial Unicode MS" w:hint="eastAsia"/>
                <w:b/>
                <w:color w:val="0B2545"/>
                <w:sz w:val="17"/>
                <w:lang w:val="en-US" w:eastAsia="zh-CN" w:bidi="ar"/>
                <w:szCs w:val="17"/>
              </w:rPr>
              <w:t>主要指标</w:t>
            </w:r>
          </w:p>
        </w:tc>
      </w:tr>
      <w:tr>
        <w:tc>
          <w:tcPr>
            <w:tcW w:type="dxa" w:w="2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业务质量</w:t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40分</w:t>
            </w:r>
          </w:p>
        </w:tc>
        <w:tc>
          <w:tcPr>
            <w:tcW w:type="dxa" w:w="57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订购用户业务主动活跃度20分；协同推动的每季度新内容上线数量20分。</w:t>
            </w:r>
          </w:p>
        </w:tc>
      </w:tr>
      <w:tr>
        <w:tc>
          <w:tcPr>
            <w:tcW w:type="dxa" w:w="2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联合运营质量</w:t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30分</w:t>
            </w:r>
          </w:p>
        </w:tc>
        <w:tc>
          <w:tcPr>
            <w:tcW w:type="dxa" w:w="57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季度主题活动数量5分；累计参与用户数10分；累计新增订购用户数15分。</w:t>
            </w:r>
          </w:p>
        </w:tc>
      </w:tr>
      <w:tr>
        <w:tc>
          <w:tcPr>
            <w:tcW w:type="dxa" w:w="2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用户到端质量</w:t>
            </w:r>
          </w:p>
        </w:tc>
        <w:tc>
          <w:tcPr>
            <w:tcW w:type="dxa" w:w="10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30分</w:t>
            </w:r>
          </w:p>
        </w:tc>
        <w:tc>
          <w:tcPr>
            <w:tcW w:type="dxa" w:w="57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0" w:line="259" w:lineRule="auto"/>
              <w:jc w:val="left"/>
            </w:pPr>
            <w:r/>
            <w:r>
              <w:rPr>
                <w:rFonts w:ascii="Arial Unicode MS" w:hAnsi="Arial Unicode MS" w:eastAsia="Arial Unicode MS" w:cs="Arial Unicode MS" w:hint="eastAsia"/>
                <w:b w:val="0"/>
                <w:sz w:val="17"/>
                <w:lang w:val="en-US" w:eastAsia="zh-CN" w:bidi="ar"/>
                <w:szCs w:val="17"/>
              </w:rPr>
              <w:t>每季度订购用户到端数量30分。</w:t>
            </w:r>
          </w:p>
        </w:tc>
      </w:tr>
    </w:tbl>
    <w:p>
      <w:pPr>
        <w:spacing w:after="0"/>
      </w:pP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每三个月开展滚动考核，满分100分。低于60分的，原则上暂停新增推广合作并进入整改观察；80分及以上的，可结合得分和资源匹配度优先推荐。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考核低于60分的合作方可在不新增推广的前提下维护存量用户，整改观察期原则上不超过3个月；达到恢复标准后再行评估。</w:t>
      </w:r>
    </w:p>
    <w:p>
      <w:pPr>
        <w:pStyle w:val="ListNumber"/>
        <w:numPr>
          <w:ilvl w:val="0"/>
          <w:numId w:val="10"/>
        </w:numPr>
        <w:spacing w:after="100"/>
      </w:pPr>
      <w:r>
        <w:rPr>
          <w:rFonts w:ascii="Arial Unicode MS" w:hAnsi="Arial Unicode MS" w:eastAsia="Arial Unicode MS" w:cs="Arial Unicode MS" w:hint="eastAsia"/>
          <w:sz w:val="21"/>
          <w:lang w:val="en-US" w:eastAsia="zh-CN" w:bidi="ar"/>
          <w:szCs w:val="21"/>
        </w:rPr>
        <w:t>具体指标定义、数据来源、目标值和异常处理方式在正式合作文件中确认。</w:t>
      </w:r>
    </w:p>
    <w:sectPr>
      <w:headerReference w:type="default" r:id="rId8"/>
      <w:footerReference w:type="default" r:id="rId9"/>
      <w:pgSz w:w="11906" w:h="16838"/>
      <w:pgMar w:top="1332" w:right="1417" w:bottom="1247" w:left="1417" w:header="709" w:footer="709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Arial Unicode MS" w:hAnsi="Arial Unicode MS" w:eastAsia="Arial Unicode MS" w:cs="Arial Unicode MS" w:hint="eastAsia"/>
        <w:color w:val="5F6B7A"/>
        <w:sz w:val="17"/>
        <w:lang w:val="en-US" w:eastAsia="zh-CN" w:bidi="ar"/>
        <w:szCs w:val="17"/>
      </w:rPr>
      <w:t xml:space="preserve">公开发布材料 | V1.0 | </w:t>
    </w:r>
    <w:r>
      <w:rPr>
        <w:rFonts w:ascii="Arial Unicode MS" w:hAnsi="Arial Unicode MS" w:eastAsia="Arial Unicode MS" w:cs="Arial Unicode MS" w:hint="eastAsia"/>
        <w:color w:val="5F6B7A"/>
        <w:sz w:val="18"/>
        <w:lang w:val="en-US" w:eastAsia="zh-CN" w:bidi="ar"/>
        <w:szCs w:val="18"/>
      </w:rPr>
      <w:fldChar w:fldCharType="begin"/>
      <w:instrText xml:space="preserve"> PAGE </w:instrTex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 Unicode MS" w:hAnsi="Arial Unicode MS" w:eastAsia="Arial Unicode MS" w:cs="Arial Unicode MS" w:hint="eastAsia"/>
        <w:b/>
        <w:color w:val="5F6B7A"/>
        <w:sz w:val="17"/>
        <w:lang w:val="en-US" w:eastAsia="zh-CN" w:bidi="ar"/>
        <w:szCs w:val="17"/>
      </w:rPr>
      <w:t>咪咕音乐 | 明星产品业务合作伙伴甄选 | 公告附件3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ZjJjMThhOWFhNjJjMGQ1N2FkYWI5YjhkZjcxMTgifQ=="/>
  </w:docVars>
  <w:rsids>
    <w:rsidRoot w:val="004757EC"/>
    <w:rsid w:val="00005156"/>
    <w:rsid w:val="000175AD"/>
    <w:rsid w:val="00070992"/>
    <w:rsid w:val="0009255E"/>
    <w:rsid w:val="00154C11"/>
    <w:rsid w:val="001610F1"/>
    <w:rsid w:val="00161EE9"/>
    <w:rsid w:val="002124E6"/>
    <w:rsid w:val="0025388A"/>
    <w:rsid w:val="00260DC9"/>
    <w:rsid w:val="00270AC6"/>
    <w:rsid w:val="00271BFA"/>
    <w:rsid w:val="002F228D"/>
    <w:rsid w:val="002F35E7"/>
    <w:rsid w:val="00320CAE"/>
    <w:rsid w:val="00332F0B"/>
    <w:rsid w:val="003B7A77"/>
    <w:rsid w:val="003D1347"/>
    <w:rsid w:val="004026A4"/>
    <w:rsid w:val="00404551"/>
    <w:rsid w:val="0041208F"/>
    <w:rsid w:val="0046452D"/>
    <w:rsid w:val="004757EC"/>
    <w:rsid w:val="0053596E"/>
    <w:rsid w:val="00544A82"/>
    <w:rsid w:val="0058594F"/>
    <w:rsid w:val="005865EC"/>
    <w:rsid w:val="005C4003"/>
    <w:rsid w:val="005C6D10"/>
    <w:rsid w:val="00613966"/>
    <w:rsid w:val="00670483"/>
    <w:rsid w:val="006B52F5"/>
    <w:rsid w:val="00725B15"/>
    <w:rsid w:val="00747E9C"/>
    <w:rsid w:val="007C103D"/>
    <w:rsid w:val="00823560"/>
    <w:rsid w:val="008676FF"/>
    <w:rsid w:val="008D13DD"/>
    <w:rsid w:val="00934A30"/>
    <w:rsid w:val="00961D53"/>
    <w:rsid w:val="00A51654"/>
    <w:rsid w:val="00AB1308"/>
    <w:rsid w:val="00AE273E"/>
    <w:rsid w:val="00B92983"/>
    <w:rsid w:val="00BE722E"/>
    <w:rsid w:val="00BF0550"/>
    <w:rsid w:val="00C52110"/>
    <w:rsid w:val="00C8771C"/>
    <w:rsid w:val="00C90AB2"/>
    <w:rsid w:val="00CB56CB"/>
    <w:rsid w:val="00CB62DD"/>
    <w:rsid w:val="00CC4F50"/>
    <w:rsid w:val="00D25A97"/>
    <w:rsid w:val="00DF6A9D"/>
    <w:rsid w:val="00E011DC"/>
    <w:rsid w:val="00E20B09"/>
    <w:rsid w:val="00E74943"/>
    <w:rsid w:val="00EA49A9"/>
    <w:rsid w:val="00EA6BB5"/>
    <w:rsid w:val="00EC076C"/>
    <w:rsid w:val="00ED091C"/>
    <w:rsid w:val="00F11B40"/>
    <w:rsid w:val="00F8075E"/>
    <w:rsid w:val="00F80CF9"/>
    <w:rsid w:val="00F84592"/>
    <w:rsid w:val="00FA5AB4"/>
    <w:rsid w:val="05330EB7"/>
    <w:rsid w:val="0A3F2E34"/>
    <w:rsid w:val="16C81041"/>
    <w:rsid w:val="18BB4569"/>
    <w:rsid w:val="1CCE26B8"/>
    <w:rsid w:val="1D966E34"/>
    <w:rsid w:val="26835E74"/>
    <w:rsid w:val="28AC7CFA"/>
    <w:rsid w:val="2E053164"/>
    <w:rsid w:val="393458D7"/>
    <w:rsid w:val="3CBD705A"/>
    <w:rsid w:val="43A7002A"/>
    <w:rsid w:val="44CE2881"/>
    <w:rsid w:val="4E05458D"/>
    <w:rsid w:val="51C4037D"/>
    <w:rsid w:val="53AA07EE"/>
    <w:rsid w:val="54DF1708"/>
    <w:rsid w:val="56FE79BD"/>
    <w:rsid w:val="5A1648D3"/>
    <w:rsid w:val="5A1B7FE4"/>
    <w:rsid w:val="6D5D26CF"/>
    <w:rsid w:val="70FD016F"/>
    <w:rsid w:val="77D0645A"/>
    <w:rsid w:val="7C1B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64" w:lineRule="auto" w:before="0"/>
      <w:jc w:val="center"/>
    </w:pPr>
    <w:rPr>
      <w:rFonts w:ascii="Arial Unicode MS" w:hAnsi="Arial Unicode MS" w:eastAsia="Arial Unicode MS" w:cstheme="minorBidi" w:cs="Arial Unicode MS" w:hint="eastAsia"/>
      <w:color w:val="000000"/>
      <w:kern w:val="2"/>
      <w:sz w:val="21"/>
      <w:szCs w:val="24"/>
      <w:shd w:val="clear" w:color="auto" w:fill="FFFFFF"/>
      <w:lang w:val="en-US" w:eastAsia="zh-CN" w:bidi="ar-SA"/>
      <w14:ligatures w14:val="standardContextual"/>
      <w:lang w:val="en-US" w:eastAsia="zh-CN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20" w:after="160"/>
      <w:outlineLvl w:val="0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32"/>
      <w:szCs w:val="48"/>
      <w:lang w:val="en-US" w:eastAsia="zh-CN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40" w:after="120"/>
      <w:outlineLvl w:val="1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2E74B5"/>
      <w:sz w:val="26"/>
      <w:szCs w:val="40"/>
      <w:lang w:val="en-US" w:eastAsia="zh-CN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 w:ascii="Arial Unicode MS" w:hAnsi="Arial Unicode MS" w:eastAsia="Arial Unicode MS" w:cs="Arial Unicode MS" w:hint="eastAsia"/>
      <w:b/>
      <w:color w:val="1F4D78"/>
      <w:sz w:val="23"/>
      <w:szCs w:val="32"/>
      <w:lang w:val="en-US" w:eastAsia="zh-CN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kern w:val="2"/>
      <w:sz w:val="18"/>
      <w:szCs w:val="18"/>
      <w14:ligatures w14:val="standardContextual"/>
    </w:rPr>
  </w:style>
  <w:style w:type="character" w:customStyle="1" w:styleId="39">
    <w:name w:val="页脚 字符"/>
    <w:basedOn w:val="17"/>
    <w:link w:val="11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0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00" w:line="264" w:lineRule="auto"/>
      <w:ind w:left="720" w:hanging="360"/>
      <w:contextualSpacing/>
    </w:pPr>
    <w:rPr>
      <w:rFonts w:ascii="Arial Unicode MS" w:hAnsi="Arial Unicode MS" w:eastAsia="Arial Unicode MS" w:cs="Arial Unicode MS" w:hint="eastAsia"/>
      <w:sz w:val="21"/>
      <w:lang w:val="en-US" w:eastAsia="zh-CN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numbering" Target="numbering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843</Words>
  <Characters>904</Characters>
  <Lines>2</Lines>
  <Paragraphs>1</Paragraphs>
  <TotalTime>71</TotalTime>
  <ScaleCrop>false</ScaleCrop>
  <LinksUpToDate>false</LinksUpToDate>
  <CharactersWithSpaces>1058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2024-05-24T05:53:00Z</dcterms:created>
  <dc:creator>宁 罗</dc:creator>
  <cp:lastModifiedBy>熵能随身听</cp:lastModifiedBy>
  <dcterms:modified xsi:type="dcterms:W3CDTF">2026-08-24T02:00:01Z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14BF13BC324A4DFFAB98D64AF8192D57_13</vt:lpwstr>
  </property>
  <property fmtid="{D5CDD505-2E9C-101B-9397-08002B2CF9AE}" pid="4" name="KSOTemplateDocerSaveRecord">
    <vt:lpwstr>eyJoZGlkIjoiODA5ZWFhMjNmYWEyNWUxNGI3YTY2MGI3NWQ1MzMyZDEiLCJ1c2VySWQiOiIxMzk3NTU5NjkxIn0=</vt:lpwstr>
  </property>
</Properties>
</file>