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spacing w:before="240" w:after="120"/>
        <w:jc w:val="center"/>
      </w:pPr>
      <w:r>
        <w:rPr>
          <w:rFonts w:ascii="Arial Unicode MS" w:hAnsi="Arial Unicode MS" w:eastAsia="Arial Unicode MS" w:cs="Arial Unicode MS" w:hint="eastAsia"/>
          <w:b/>
          <w:color w:val="0B2545"/>
          <w:sz w:val="42"/>
          <w:lang w:val="en-US" w:eastAsia="zh-CN" w:bidi="ar"/>
          <w:szCs w:val="42"/>
        </w:rPr>
        <w:t>附件2 内容合作赛道准入标准及证明材料清单</w:t>
      </w:r>
    </w:p>
    <w:p>
      <w:pPr>
        <w:spacing w:after="280"/>
        <w:jc w:val="center"/>
      </w:pPr>
      <w:r>
        <w:rPr>
          <w:rFonts w:ascii="Arial Unicode MS" w:hAnsi="Arial Unicode MS" w:eastAsia="Arial Unicode MS" w:cs="Arial Unicode MS" w:hint="eastAsia"/>
          <w:color w:val="5F6B7A"/>
          <w:sz w:val="23"/>
          <w:lang w:val="en-US" w:eastAsia="zh-CN" w:bidi="ar"/>
          <w:szCs w:val="23"/>
        </w:rPr>
        <w:t>音乐明星内容合作方（CP）专项甄选</w:t>
      </w:r>
    </w:p>
    <w:tbl>
      <w:tblPr>
        <w:tblStyle w:val="TableGrid"/>
        <w:tblW w:type="dxa" w:w="902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4510"/>
        <w:gridCol w:w="4510"/>
      </w:tblGrid>
      <w:tr>
        <w:tc>
          <w:tcPr>
            <w:tcW w:type="dxa" w:w="45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8FAFC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color w:val="5F6B7A"/>
                <w:sz w:val="18"/>
                <w:lang w:val="en-US" w:eastAsia="zh-CN" w:bidi="ar"/>
                <w:szCs w:val="18"/>
              </w:rPr>
              <w:t>版本：V1.0</w:t>
            </w:r>
          </w:p>
        </w:tc>
        <w:tc>
          <w:tcPr>
            <w:tcW w:type="dxa" w:w="45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8FAFC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color w:val="5F6B7A"/>
                <w:sz w:val="18"/>
                <w:lang w:val="en-US" w:eastAsia="zh-CN" w:bidi="ar"/>
                <w:szCs w:val="18"/>
              </w:rPr>
              <w:t>日期：2026年8月24日</w:t>
            </w:r>
          </w:p>
        </w:tc>
      </w:tr>
      <w:tr>
        <w:tc>
          <w:tcPr>
            <w:tcW w:type="dxa" w:w="45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8FAFC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color w:val="5F6B7A"/>
                <w:sz w:val="18"/>
                <w:lang w:val="en-US" w:eastAsia="zh-CN" w:bidi="ar"/>
                <w:szCs w:val="18"/>
              </w:rPr>
              <w:t>文件属性：公告附件2</w:t>
            </w:r>
          </w:p>
        </w:tc>
        <w:tc>
          <w:tcPr>
            <w:tcW w:type="dxa" w:w="45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8FAFC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color w:val="5F6B7A"/>
                <w:sz w:val="18"/>
                <w:lang w:val="en-US" w:eastAsia="zh-CN" w:bidi="ar"/>
                <w:szCs w:val="18"/>
              </w:rPr>
              <w:t>业务范围：明星全曲包及相关融合权益</w:t>
            </w:r>
          </w:p>
        </w:tc>
      </w:tr>
    </w:tbl>
    <w:p>
      <w:pPr>
        <w:spacing w:after="0"/>
      </w:pPr>
    </w:p>
    <w:tbl>
      <w:tblPr>
        <w:tblStyle w:val="TableGrid"/>
        <w:tblW w:type="dxa" w:w="902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9020"/>
      </w:tblGrid>
      <w:tr>
        <w:tc>
          <w:tcPr>
            <w:tcW w:type="dxa" w:w="90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8EEF5"/>
          </w:tcPr>
          <w:p>
            <w:pPr>
              <w:spacing w:after="0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1F4D78"/>
                <w:sz w:val="21"/>
                <w:lang w:val="en-US" w:eastAsia="zh-CN" w:bidi="ar"/>
                <w:szCs w:val="21"/>
              </w:rPr>
              <w:t>准入原则：</w:t>
            </w:r>
            <w:r>
              <w:rPr>
                <w:rFonts w:ascii="Arial Unicode MS" w:hAnsi="Arial Unicode MS" w:eastAsia="Arial Unicode MS" w:cs="Arial Unicode MS" w:hint="eastAsia"/>
                <w:color w:val="0B2545"/>
                <w:sz w:val="21"/>
                <w:lang w:val="en-US" w:eastAsia="zh-CN" w:bidi="ar"/>
                <w:szCs w:val="21"/>
              </w:rPr>
              <w:t>内容合作方须同时满足基础接入、明星IP、内容供给、权利授权和持续运营要求；标注为“硬门槛”的项目任一不满足，原则上不进入商务洽谈。</w:t>
            </w:r>
          </w:p>
        </w:tc>
      </w:tr>
    </w:tbl>
    <w:p>
      <w:pPr>
        <w:spacing w:after="0"/>
      </w:pPr>
    </w:p>
    <w:p>
      <w:pPr>
        <w:pStyle w:val="2"/>
      </w:pPr>
      <w:r>
        <w:t>一、硬门槛要求</w:t>
      </w:r>
    </w:p>
    <w:tbl>
      <w:tblPr>
        <w:tblStyle w:val="TableGrid"/>
        <w:tblW w:type="dxa" w:w="902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650"/>
        <w:gridCol w:w="1150"/>
        <w:gridCol w:w="3950"/>
        <w:gridCol w:w="2450"/>
        <w:gridCol w:w="820"/>
      </w:tblGrid>
      <w:tr>
        <w:trPr>
          <w:tblHeader w:val="true"/>
        </w:trPr>
        <w:tc>
          <w:tcPr>
            <w:tcW w:type="dxa" w:w="6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5"/>
                <w:lang w:val="en-US" w:eastAsia="zh-CN" w:bidi="ar"/>
                <w:szCs w:val="15"/>
              </w:rPr>
              <w:t>编号</w:t>
            </w:r>
          </w:p>
        </w:tc>
        <w:tc>
          <w:tcPr>
            <w:tcW w:type="dxa" w:w="11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5"/>
                <w:lang w:val="en-US" w:eastAsia="zh-CN" w:bidi="ar"/>
                <w:szCs w:val="15"/>
              </w:rPr>
              <w:t>项目</w:t>
            </w:r>
          </w:p>
        </w:tc>
        <w:tc>
          <w:tcPr>
            <w:tcW w:type="dxa" w:w="39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5"/>
                <w:lang w:val="en-US" w:eastAsia="zh-CN" w:bidi="ar"/>
                <w:szCs w:val="15"/>
              </w:rPr>
              <w:t>标准</w:t>
            </w:r>
          </w:p>
        </w:tc>
        <w:tc>
          <w:tcPr>
            <w:tcW w:type="dxa" w:w="24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5"/>
                <w:lang w:val="en-US" w:eastAsia="zh-CN" w:bidi="ar"/>
                <w:szCs w:val="15"/>
              </w:rPr>
              <w:t>核心证明</w:t>
            </w:r>
          </w:p>
        </w:tc>
        <w:tc>
          <w:tcPr>
            <w:tcW w:type="dxa" w:w="8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5"/>
                <w:lang w:val="en-US" w:eastAsia="zh-CN" w:bidi="ar"/>
                <w:szCs w:val="15"/>
              </w:rPr>
              <w:t>性质</w:t>
            </w:r>
          </w:p>
        </w:tc>
      </w:tr>
      <w:tr>
        <w:tc>
          <w:tcPr>
            <w:tcW w:type="dxa" w:w="6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C01</w:t>
            </w:r>
          </w:p>
        </w:tc>
        <w:tc>
          <w:tcPr>
            <w:tcW w:type="dxa" w:w="11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基础接入</w:t>
            </w:r>
          </w:p>
        </w:tc>
        <w:tc>
          <w:tcPr>
            <w:tcW w:type="dxa" w:w="39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完成数字音视频、融媒创作者/订阅内容及明星闹铃相关基础接入，协议或申请有效。</w:t>
            </w:r>
          </w:p>
        </w:tc>
        <w:tc>
          <w:tcPr>
            <w:tcW w:type="dxa" w:w="24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合同及接入证明</w:t>
            </w:r>
          </w:p>
        </w:tc>
        <w:tc>
          <w:tcPr>
            <w:tcW w:type="dxa" w:w="8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硬门槛</w:t>
            </w:r>
          </w:p>
        </w:tc>
      </w:tr>
      <w:tr>
        <w:tc>
          <w:tcPr>
            <w:tcW w:type="dxa" w:w="6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C02</w:t>
            </w:r>
          </w:p>
        </w:tc>
        <w:tc>
          <w:tcPr>
            <w:tcW w:type="dxa" w:w="11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音乐明星属性</w:t>
            </w:r>
          </w:p>
        </w:tc>
        <w:tc>
          <w:tcPr>
            <w:tcW w:type="dxa" w:w="39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申报对象应为以音乐创作、演唱或音乐内容传播为核心影响力的明星/音乐创作者。</w:t>
            </w:r>
          </w:p>
        </w:tc>
        <w:tc>
          <w:tcPr>
            <w:tcW w:type="dxa" w:w="24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艺人简介、音乐作品及平台认证</w:t>
            </w:r>
          </w:p>
        </w:tc>
        <w:tc>
          <w:tcPr>
            <w:tcW w:type="dxa" w:w="8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硬门槛</w:t>
            </w:r>
          </w:p>
        </w:tc>
      </w:tr>
      <w:tr>
        <w:tc>
          <w:tcPr>
            <w:tcW w:type="dxa" w:w="6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C03</w:t>
            </w:r>
          </w:p>
        </w:tc>
        <w:tc>
          <w:tcPr>
            <w:tcW w:type="dxa" w:w="11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粉丝规模</w:t>
            </w:r>
          </w:p>
        </w:tc>
        <w:tc>
          <w:tcPr>
            <w:tcW w:type="dxa" w:w="39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抖音、快手、QQ音乐、网易云音乐、汽水音乐、微博、小红书、哔哩哔哩八个平台官方或经确认账号粉丝数合计不少于1000万。</w:t>
            </w:r>
          </w:p>
        </w:tc>
        <w:tc>
          <w:tcPr>
            <w:tcW w:type="dxa" w:w="24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同一统计日或相近统计日截图及账号链接</w:t>
            </w:r>
          </w:p>
        </w:tc>
        <w:tc>
          <w:tcPr>
            <w:tcW w:type="dxa" w:w="8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硬门槛</w:t>
            </w:r>
          </w:p>
        </w:tc>
      </w:tr>
      <w:tr>
        <w:tc>
          <w:tcPr>
            <w:tcW w:type="dxa" w:w="6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C04</w:t>
            </w:r>
          </w:p>
        </w:tc>
        <w:tc>
          <w:tcPr>
            <w:tcW w:type="dxa" w:w="11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订阅内容</w:t>
            </w:r>
          </w:p>
        </w:tc>
        <w:tc>
          <w:tcPr>
            <w:tcW w:type="dxa" w:w="39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首个合作年度可提供不少于52条明星订阅内容，原则上按周更新并遵守平台管理规范。</w:t>
            </w:r>
          </w:p>
        </w:tc>
        <w:tc>
          <w:tcPr>
            <w:tcW w:type="dxa" w:w="24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已上传/待上传清单、版权证明及排期</w:t>
            </w:r>
          </w:p>
        </w:tc>
        <w:tc>
          <w:tcPr>
            <w:tcW w:type="dxa" w:w="8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硬门槛</w:t>
            </w:r>
          </w:p>
        </w:tc>
      </w:tr>
      <w:tr>
        <w:tc>
          <w:tcPr>
            <w:tcW w:type="dxa" w:w="6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C05</w:t>
            </w:r>
          </w:p>
        </w:tc>
        <w:tc>
          <w:tcPr>
            <w:tcW w:type="dxa" w:w="11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明星闹铃</w:t>
            </w:r>
          </w:p>
        </w:tc>
        <w:tc>
          <w:tcPr>
            <w:tcW w:type="dxa" w:w="39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首发可提供不少于50条明星本人提醒内容，覆盖不少于5类高频场景。</w:t>
            </w:r>
          </w:p>
        </w:tc>
        <w:tc>
          <w:tcPr>
            <w:tcW w:type="dxa" w:w="24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内容清单、脚本、样片/截图及交付计划</w:t>
            </w:r>
          </w:p>
        </w:tc>
        <w:tc>
          <w:tcPr>
            <w:tcW w:type="dxa" w:w="8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硬门槛</w:t>
            </w:r>
          </w:p>
        </w:tc>
      </w:tr>
      <w:tr>
        <w:tc>
          <w:tcPr>
            <w:tcW w:type="dxa" w:w="6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C06</w:t>
            </w:r>
          </w:p>
        </w:tc>
        <w:tc>
          <w:tcPr>
            <w:tcW w:type="dxa" w:w="11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缺歌补充</w:t>
            </w:r>
          </w:p>
        </w:tc>
        <w:tc>
          <w:tcPr>
            <w:tcW w:type="dxa" w:w="39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完成咪咕曲库核验，对有权提供且曲库缺失的已发行/待发行歌曲进行补充。</w:t>
            </w:r>
          </w:p>
        </w:tc>
        <w:tc>
          <w:tcPr>
            <w:tcW w:type="dxa" w:w="24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曲库核验表、缺歌清单、授权或协助承诺</w:t>
            </w:r>
          </w:p>
        </w:tc>
        <w:tc>
          <w:tcPr>
            <w:tcW w:type="dxa" w:w="8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硬门槛</w:t>
            </w:r>
          </w:p>
        </w:tc>
      </w:tr>
      <w:tr>
        <w:tc>
          <w:tcPr>
            <w:tcW w:type="dxa" w:w="6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C07</w:t>
            </w:r>
          </w:p>
        </w:tc>
        <w:tc>
          <w:tcPr>
            <w:tcW w:type="dxa" w:w="11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创作解读</w:t>
            </w:r>
          </w:p>
        </w:tc>
        <w:tc>
          <w:tcPr>
            <w:tcW w:type="dxa" w:w="39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提供明星本人围绕歌曲、歌词、创作或演唱表达的原创解读内容。</w:t>
            </w:r>
          </w:p>
        </w:tc>
        <w:tc>
          <w:tcPr>
            <w:tcW w:type="dxa" w:w="24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选题表、样片或年度交付计划</w:t>
            </w:r>
          </w:p>
        </w:tc>
        <w:tc>
          <w:tcPr>
            <w:tcW w:type="dxa" w:w="8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硬门槛</w:t>
            </w:r>
          </w:p>
        </w:tc>
      </w:tr>
      <w:tr>
        <w:tc>
          <w:tcPr>
            <w:tcW w:type="dxa" w:w="6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C08</w:t>
            </w:r>
          </w:p>
        </w:tc>
        <w:tc>
          <w:tcPr>
            <w:tcW w:type="dxa" w:w="11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延展权益</w:t>
            </w:r>
          </w:p>
        </w:tc>
        <w:tc>
          <w:tcPr>
            <w:tcW w:type="dxa" w:w="39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声音授权与衍生授权至少具备一项，授权边界清晰且可核验。</w:t>
            </w:r>
          </w:p>
        </w:tc>
        <w:tc>
          <w:tcPr>
            <w:tcW w:type="dxa" w:w="24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专项授权书或承诺及边界说明</w:t>
            </w:r>
          </w:p>
        </w:tc>
        <w:tc>
          <w:tcPr>
            <w:tcW w:type="dxa" w:w="8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硬门槛</w:t>
            </w:r>
          </w:p>
        </w:tc>
      </w:tr>
      <w:tr>
        <w:tc>
          <w:tcPr>
            <w:tcW w:type="dxa" w:w="6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C09</w:t>
            </w:r>
          </w:p>
        </w:tc>
        <w:tc>
          <w:tcPr>
            <w:tcW w:type="dxa" w:w="11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音视频关联</w:t>
            </w:r>
          </w:p>
        </w:tc>
        <w:tc>
          <w:tcPr>
            <w:tcW w:type="dxa" w:w="39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除聚合生态内容外，申报的音乐内容与订阅/闹铃等视频内容应建立可追溯的一一关联。</w:t>
            </w:r>
          </w:p>
        </w:tc>
        <w:tc>
          <w:tcPr>
            <w:tcW w:type="dxa" w:w="24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音视频关联台账</w:t>
            </w:r>
          </w:p>
        </w:tc>
        <w:tc>
          <w:tcPr>
            <w:tcW w:type="dxa" w:w="8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硬门槛</w:t>
            </w:r>
          </w:p>
        </w:tc>
      </w:tr>
      <w:tr>
        <w:tc>
          <w:tcPr>
            <w:tcW w:type="dxa" w:w="6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C10</w:t>
            </w:r>
          </w:p>
        </w:tc>
        <w:tc>
          <w:tcPr>
            <w:tcW w:type="dxa" w:w="11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粉丝动员</w:t>
            </w:r>
          </w:p>
        </w:tc>
        <w:tc>
          <w:tcPr>
            <w:tcW w:type="dxa" w:w="39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明星方或合法授权方承诺配合开展用户到端和粉丝运营活动。</w:t>
            </w:r>
          </w:p>
        </w:tc>
        <w:tc>
          <w:tcPr>
            <w:tcW w:type="dxa" w:w="24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盖章承诺及可执行资源计划</w:t>
            </w:r>
          </w:p>
        </w:tc>
        <w:tc>
          <w:tcPr>
            <w:tcW w:type="dxa" w:w="8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硬门槛</w:t>
            </w:r>
          </w:p>
        </w:tc>
      </w:tr>
    </w:tbl>
    <w:p>
      <w:pPr>
        <w:spacing w:after="0"/>
      </w:pPr>
    </w:p>
    <w:p>
      <w:pPr>
        <w:pStyle w:val="2"/>
      </w:pPr>
      <w:r>
        <w:t>二、八平台粉丝数据口径</w:t>
      </w:r>
    </w:p>
    <w:p>
      <w:pPr>
        <w:pStyle w:val="ListNumber"/>
        <w:numPr>
          <w:ilvl w:val="0"/>
          <w:numId w:val="10"/>
        </w:numPr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每个平台原则上仅统计一个明星官方认证账号；无官方认证的，应提供明星本人、工作室或合法代理方对账号归属的确认。</w:t>
      </w:r>
    </w:p>
    <w:p>
      <w:pPr>
        <w:pStyle w:val="ListNumber"/>
        <w:numPr>
          <w:ilvl w:val="0"/>
          <w:numId w:val="10"/>
        </w:numPr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同一平台存在多个账号时不得重复累计；确需累计的，应说明账号用途、归属及受众重复风险。</w:t>
      </w:r>
    </w:p>
    <w:p>
      <w:pPr>
        <w:pStyle w:val="ListNumber"/>
        <w:numPr>
          <w:ilvl w:val="0"/>
          <w:numId w:val="10"/>
        </w:numPr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截图应尽量在同一自然日采集，最长间隔不超过7日，且距申报日不超过30日。</w:t>
      </w:r>
    </w:p>
    <w:p>
      <w:pPr>
        <w:pStyle w:val="ListNumber"/>
        <w:numPr>
          <w:ilvl w:val="0"/>
          <w:numId w:val="10"/>
        </w:numPr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八平台粉丝数为账号粉丝简单相加，不代表去重用户规模；评审时将结合互动、播放、内容更新和异常增长情况综合判断。</w:t>
      </w:r>
    </w:p>
    <w:p>
      <w:pPr>
        <w:pStyle w:val="2"/>
      </w:pPr>
      <w:r>
        <w:t>三、内容与交付要求</w:t>
      </w:r>
    </w:p>
    <w:tbl>
      <w:tblPr>
        <w:tblStyle w:val="TableGrid"/>
        <w:tblW w:type="dxa" w:w="902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1700"/>
        <w:gridCol w:w="2750"/>
        <w:gridCol w:w="4570"/>
      </w:tblGrid>
      <w:tr>
        <w:trPr>
          <w:tblHeader w:val="true"/>
        </w:trPr>
        <w:tc>
          <w:tcPr>
            <w:tcW w:type="dxa" w:w="1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7"/>
                <w:lang w:val="en-US" w:eastAsia="zh-CN" w:bidi="ar"/>
                <w:szCs w:val="17"/>
              </w:rPr>
              <w:t>内容类型</w:t>
            </w:r>
          </w:p>
        </w:tc>
        <w:tc>
          <w:tcPr>
            <w:tcW w:type="dxa" w:w="27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7"/>
                <w:lang w:val="en-US" w:eastAsia="zh-CN" w:bidi="ar"/>
                <w:szCs w:val="17"/>
              </w:rPr>
              <w:t>最低要求</w:t>
            </w:r>
          </w:p>
        </w:tc>
        <w:tc>
          <w:tcPr>
            <w:tcW w:type="dxa" w:w="45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7"/>
                <w:lang w:val="en-US" w:eastAsia="zh-CN" w:bidi="ar"/>
                <w:szCs w:val="17"/>
              </w:rPr>
              <w:t>交付与验收要点</w:t>
            </w:r>
          </w:p>
        </w:tc>
      </w:tr>
      <w:tr>
        <w:tc>
          <w:tcPr>
            <w:tcW w:type="dxa" w:w="1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音乐内容</w:t>
            </w:r>
          </w:p>
        </w:tc>
        <w:tc>
          <w:tcPr>
            <w:tcW w:type="dxa" w:w="27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完成曲库核验、缺歌补充及新增作品协同上线。</w:t>
            </w:r>
          </w:p>
        </w:tc>
        <w:tc>
          <w:tcPr>
            <w:tcW w:type="dxa" w:w="45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逐首标注录音、词曲、表演、MV/视频权利主体、授权范围和到期日。</w:t>
            </w:r>
          </w:p>
        </w:tc>
      </w:tr>
      <w:tr>
        <w:tc>
          <w:tcPr>
            <w:tcW w:type="dxa" w:w="1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订阅内容</w:t>
            </w:r>
          </w:p>
        </w:tc>
        <w:tc>
          <w:tcPr>
            <w:tcW w:type="dxa" w:w="27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首个合作年度不少于52条，原则上周更。</w:t>
            </w:r>
          </w:p>
        </w:tc>
        <w:tc>
          <w:tcPr>
            <w:tcW w:type="dxa" w:w="45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内容清晰、无水印、不得以重复搬运或无实质信息片段充抵。</w:t>
            </w:r>
          </w:p>
        </w:tc>
      </w:tr>
      <w:tr>
        <w:tc>
          <w:tcPr>
            <w:tcW w:type="dxa" w:w="1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明星闹铃</w:t>
            </w:r>
          </w:p>
        </w:tc>
        <w:tc>
          <w:tcPr>
            <w:tcW w:type="dxa" w:w="27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首发不少于50条、覆盖不少于5类场景。</w:t>
            </w:r>
          </w:p>
        </w:tc>
        <w:tc>
          <w:tcPr>
            <w:tcW w:type="dxa" w:w="45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明星本人原声/出镜，脚本、场景标签、录制日期及授权台账完整。</w:t>
            </w:r>
          </w:p>
        </w:tc>
      </w:tr>
      <w:tr>
        <w:tc>
          <w:tcPr>
            <w:tcW w:type="dxa" w:w="1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创作解读</w:t>
            </w:r>
          </w:p>
        </w:tc>
        <w:tc>
          <w:tcPr>
            <w:tcW w:type="dxa" w:w="27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围绕作品形成持续栏目或节点内容。</w:t>
            </w:r>
          </w:p>
        </w:tc>
        <w:tc>
          <w:tcPr>
            <w:tcW w:type="dxa" w:w="45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明星本人表达；涉及第三方音视频素材时另行核验权利。</w:t>
            </w:r>
          </w:p>
        </w:tc>
      </w:tr>
      <w:tr>
        <w:tc>
          <w:tcPr>
            <w:tcW w:type="dxa" w:w="1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音视频关联</w:t>
            </w:r>
          </w:p>
        </w:tc>
        <w:tc>
          <w:tcPr>
            <w:tcW w:type="dxa" w:w="27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每项重点音乐内容对应至少一项可运营视频或互动内容。</w:t>
            </w:r>
          </w:p>
        </w:tc>
        <w:tc>
          <w:tcPr>
            <w:tcW w:type="dxa" w:w="45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使用统一资产编号形成音乐-视频-授权-产品关联关系。</w:t>
            </w:r>
          </w:p>
        </w:tc>
      </w:tr>
    </w:tbl>
    <w:p>
      <w:pPr>
        <w:spacing w:after="0"/>
      </w:pPr>
    </w:p>
    <w:p>
      <w:pPr>
        <w:pStyle w:val="2"/>
      </w:pPr>
      <w:r>
        <w:t>四、声音与衍生权益边界</w:t>
      </w:r>
    </w:p>
    <w:tbl>
      <w:tblPr>
        <w:tblStyle w:val="TableGrid"/>
        <w:tblW w:type="dxa" w:w="902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1800"/>
        <w:gridCol w:w="4550"/>
        <w:gridCol w:w="2670"/>
      </w:tblGrid>
      <w:tr>
        <w:trPr>
          <w:tblHeader w:val="true"/>
        </w:trPr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6"/>
                <w:lang w:val="en-US" w:eastAsia="zh-CN" w:bidi="ar"/>
                <w:szCs w:val="16"/>
              </w:rPr>
              <w:t>权益类型</w:t>
            </w:r>
          </w:p>
        </w:tc>
        <w:tc>
          <w:tcPr>
            <w:tcW w:type="dxa" w:w="4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6"/>
                <w:lang w:val="en-US" w:eastAsia="zh-CN" w:bidi="ar"/>
                <w:szCs w:val="16"/>
              </w:rPr>
              <w:t>申报要求</w:t>
            </w:r>
          </w:p>
        </w:tc>
        <w:tc>
          <w:tcPr>
            <w:tcW w:type="dxa" w:w="26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6"/>
                <w:lang w:val="en-US" w:eastAsia="zh-CN" w:bidi="ar"/>
                <w:szCs w:val="16"/>
              </w:rPr>
              <w:t>不得默认包含的范围</w:t>
            </w:r>
          </w:p>
        </w:tc>
      </w:tr>
      <w:tr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声音授权</w:t>
            </w:r>
          </w:p>
        </w:tc>
        <w:tc>
          <w:tcPr>
            <w:tcW w:type="dxa" w:w="4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区分真人录音使用与AI合成声音；AI场景须列明训练素材、模型用途、生成范围、审核、标识、日志、终止和删除机制。</w:t>
            </w:r>
          </w:p>
        </w:tc>
        <w:tc>
          <w:tcPr>
            <w:tcW w:type="dxa" w:w="26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开放式陪聊、自由文本生成、广告代言、客服、直播、数智人及对外API。</w:t>
            </w:r>
          </w:p>
        </w:tc>
      </w:tr>
      <w:tr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姓名/肖像</w:t>
            </w:r>
          </w:p>
        </w:tc>
        <w:tc>
          <w:tcPr>
            <w:tcW w:type="dxa" w:w="4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分别列明App、H5、小程序、短视频、直播、线下活动和电商页面等使用场景。</w:t>
            </w:r>
          </w:p>
        </w:tc>
        <w:tc>
          <w:tcPr>
            <w:tcW w:type="dxa" w:w="26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未约定渠道、未审核物料及合作期外持续使用。</w:t>
            </w:r>
          </w:p>
        </w:tc>
      </w:tr>
      <w:tr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周边/包装</w:t>
            </w:r>
          </w:p>
        </w:tc>
        <w:tc>
          <w:tcPr>
            <w:tcW w:type="dxa" w:w="4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列明品类、数量、销售或赠送属性、设计审核、库存和终止后处置。</w:t>
            </w:r>
          </w:p>
        </w:tc>
        <w:tc>
          <w:tcPr>
            <w:tcW w:type="dxa" w:w="26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常规零售、无限量生产及向第三方转授权。</w:t>
            </w:r>
          </w:p>
        </w:tc>
      </w:tr>
      <w:tr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独家/优先</w:t>
            </w:r>
          </w:p>
        </w:tc>
        <w:tc>
          <w:tcPr>
            <w:tcW w:type="dxa" w:w="4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如可提供，应明确竞品定义、产品类别、内容范围、地域、期限和例外。</w:t>
            </w:r>
          </w:p>
        </w:tc>
        <w:tc>
          <w:tcPr>
            <w:tcW w:type="dxa" w:w="26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不得以“唯一合作”等宣传口径替代合同条款。</w:t>
            </w:r>
          </w:p>
        </w:tc>
      </w:tr>
    </w:tbl>
    <w:p>
      <w:pPr>
        <w:spacing w:after="0"/>
      </w:pPr>
    </w:p>
    <w:p>
      <w:pPr>
        <w:pStyle w:val="2"/>
      </w:pPr>
      <w:r>
        <w:t>五、专业评审维度</w:t>
      </w:r>
    </w:p>
    <w:p>
      <w:pPr>
        <w:pStyle w:val="ListBullet"/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权利与合规：授权主体、权利链、期限、地域、转授权及冲突披露。</w:t>
      </w:r>
    </w:p>
    <w:p>
      <w:pPr>
        <w:pStyle w:val="ListBullet"/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内容供给：音乐、订阅、闹铃、创作解读及音视频关联的数量、质量和持续性。</w:t>
      </w:r>
    </w:p>
    <w:p>
      <w:pPr>
        <w:pStyle w:val="ListBullet"/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明星与粉丝价值：音乐属性、粉丝规模、互动质量和官方动员资源。</w:t>
      </w:r>
    </w:p>
    <w:p>
      <w:pPr>
        <w:pStyle w:val="ListBullet"/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差异化权益：声音、衍生、独家/优先、新作品同步及专属内容能力。</w:t>
      </w:r>
    </w:p>
    <w:p>
      <w:pPr>
        <w:pStyle w:val="ListBullet"/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运营与履约：交付排期、审核响应、联合运营、风险处置和历史履约表现。</w:t>
      </w:r>
    </w:p>
    <w:p>
      <w:pPr>
        <w:spacing w:before="0" w:after="120" w:line="264" w:lineRule="auto"/>
        <w:jc w:val="left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满足最低标准不代表自动入选。咪咕音乐将根据业务规划、资源稀缺性、权利风险、产品匹配度和同期项目安排综合判断。</w:t>
      </w:r>
    </w:p>
    <w:sectPr>
      <w:headerReference w:type="default" r:id="rId8"/>
      <w:footerReference w:type="default" r:id="rId9"/>
      <w:pgSz w:w="11906" w:h="16838"/>
      <w:pgMar w:top="1332" w:right="1417" w:bottom="1247" w:left="1417" w:header="709" w:footer="709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/>
      <w:jc w:val="right"/>
    </w:pPr>
    <w:r>
      <w:rPr>
        <w:rFonts w:ascii="Arial Unicode MS" w:hAnsi="Arial Unicode MS" w:eastAsia="Arial Unicode MS" w:cs="Arial Unicode MS" w:hint="eastAsia"/>
        <w:color w:val="5F6B7A"/>
        <w:sz w:val="17"/>
        <w:lang w:val="en-US" w:eastAsia="zh-CN" w:bidi="ar"/>
        <w:szCs w:val="17"/>
      </w:rPr>
      <w:t xml:space="preserve">公开发布材料 | V1.0 | </w:t>
    </w:r>
    <w:r>
      <w:rPr>
        <w:rFonts w:ascii="Arial Unicode MS" w:hAnsi="Arial Unicode MS" w:eastAsia="Arial Unicode MS" w:cs="Arial Unicode MS" w:hint="eastAsia"/>
        <w:color w:val="5F6B7A"/>
        <w:sz w:val="18"/>
        <w:lang w:val="en-US" w:eastAsia="zh-CN" w:bidi="ar"/>
        <w:szCs w:val="18"/>
      </w:rPr>
      <w:fldChar w:fldCharType="begin"/>
      <w:instrText xml:space="preserve"> PAGE </w:instrText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Arial Unicode MS" w:hAnsi="Arial Unicode MS" w:eastAsia="Arial Unicode MS" w:cs="Arial Unicode MS" w:hint="eastAsia"/>
        <w:b/>
        <w:color w:val="5F6B7A"/>
        <w:sz w:val="17"/>
        <w:lang w:val="en-US" w:eastAsia="zh-CN" w:bidi="ar"/>
        <w:szCs w:val="17"/>
      </w:rPr>
      <w:t>咪咕音乐 | 明星产品业务合作伙伴甄选 | 公告附件2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ZmZjJjMThhOWFhNjJjMGQ1N2FkYWI5YjhkZjcxMTgifQ=="/>
  </w:docVars>
  <w:rsids>
    <w:rsidRoot w:val="004757EC"/>
    <w:rsid w:val="00005156"/>
    <w:rsid w:val="000175AD"/>
    <w:rsid w:val="00070992"/>
    <w:rsid w:val="0009255E"/>
    <w:rsid w:val="00154C11"/>
    <w:rsid w:val="001610F1"/>
    <w:rsid w:val="00161EE9"/>
    <w:rsid w:val="002124E6"/>
    <w:rsid w:val="0025388A"/>
    <w:rsid w:val="00260DC9"/>
    <w:rsid w:val="00270AC6"/>
    <w:rsid w:val="00271BFA"/>
    <w:rsid w:val="002F228D"/>
    <w:rsid w:val="002F35E7"/>
    <w:rsid w:val="00320CAE"/>
    <w:rsid w:val="00332F0B"/>
    <w:rsid w:val="003B7A77"/>
    <w:rsid w:val="003D1347"/>
    <w:rsid w:val="004026A4"/>
    <w:rsid w:val="00404551"/>
    <w:rsid w:val="0041208F"/>
    <w:rsid w:val="0046452D"/>
    <w:rsid w:val="004757EC"/>
    <w:rsid w:val="0053596E"/>
    <w:rsid w:val="00544A82"/>
    <w:rsid w:val="0058594F"/>
    <w:rsid w:val="005865EC"/>
    <w:rsid w:val="005C4003"/>
    <w:rsid w:val="005C6D10"/>
    <w:rsid w:val="00613966"/>
    <w:rsid w:val="00670483"/>
    <w:rsid w:val="006B52F5"/>
    <w:rsid w:val="00725B15"/>
    <w:rsid w:val="00747E9C"/>
    <w:rsid w:val="007C103D"/>
    <w:rsid w:val="00823560"/>
    <w:rsid w:val="008676FF"/>
    <w:rsid w:val="008D13DD"/>
    <w:rsid w:val="00934A30"/>
    <w:rsid w:val="00961D53"/>
    <w:rsid w:val="00A51654"/>
    <w:rsid w:val="00AB1308"/>
    <w:rsid w:val="00AE273E"/>
    <w:rsid w:val="00B92983"/>
    <w:rsid w:val="00BE722E"/>
    <w:rsid w:val="00BF0550"/>
    <w:rsid w:val="00C52110"/>
    <w:rsid w:val="00C8771C"/>
    <w:rsid w:val="00C90AB2"/>
    <w:rsid w:val="00CB56CB"/>
    <w:rsid w:val="00CB62DD"/>
    <w:rsid w:val="00CC4F50"/>
    <w:rsid w:val="00D25A97"/>
    <w:rsid w:val="00DF6A9D"/>
    <w:rsid w:val="00E011DC"/>
    <w:rsid w:val="00E20B09"/>
    <w:rsid w:val="00E74943"/>
    <w:rsid w:val="00EA49A9"/>
    <w:rsid w:val="00EA6BB5"/>
    <w:rsid w:val="00EC076C"/>
    <w:rsid w:val="00ED091C"/>
    <w:rsid w:val="00F11B40"/>
    <w:rsid w:val="00F8075E"/>
    <w:rsid w:val="00F80CF9"/>
    <w:rsid w:val="00F84592"/>
    <w:rsid w:val="00FA5AB4"/>
    <w:rsid w:val="05330EB7"/>
    <w:rsid w:val="0A3F2E34"/>
    <w:rsid w:val="16C81041"/>
    <w:rsid w:val="18BB4569"/>
    <w:rsid w:val="1CCE26B8"/>
    <w:rsid w:val="1D966E34"/>
    <w:rsid w:val="26835E74"/>
    <w:rsid w:val="28AC7CFA"/>
    <w:rsid w:val="2E053164"/>
    <w:rsid w:val="393458D7"/>
    <w:rsid w:val="3CBD705A"/>
    <w:rsid w:val="43A7002A"/>
    <w:rsid w:val="44CE2881"/>
    <w:rsid w:val="4E05458D"/>
    <w:rsid w:val="51C4037D"/>
    <w:rsid w:val="53AA07EE"/>
    <w:rsid w:val="54DF1708"/>
    <w:rsid w:val="56FE79BD"/>
    <w:rsid w:val="5A1648D3"/>
    <w:rsid w:val="5A1B7FE4"/>
    <w:rsid w:val="6D5D26CF"/>
    <w:rsid w:val="70FD016F"/>
    <w:rsid w:val="77D0645A"/>
    <w:rsid w:val="7C1B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20" w:line="264" w:lineRule="auto" w:before="0"/>
      <w:jc w:val="center"/>
    </w:pPr>
    <w:rPr>
      <w:rFonts w:ascii="Arial Unicode MS" w:hAnsi="Arial Unicode MS" w:eastAsia="Arial Unicode MS" w:cstheme="minorBidi" w:cs="Arial Unicode MS" w:hint="eastAsia"/>
      <w:color w:val="000000"/>
      <w:kern w:val="2"/>
      <w:sz w:val="21"/>
      <w:szCs w:val="24"/>
      <w:shd w:val="clear" w:color="auto" w:fill="FFFFFF"/>
      <w:lang w:val="en-US" w:eastAsia="zh-CN" w:bidi="ar-SA"/>
      <w14:ligatures w14:val="standardContextual"/>
      <w:lang w:val="en-US" w:eastAsia="zh-CN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20" w:after="160"/>
      <w:outlineLvl w:val="0"/>
    </w:pPr>
    <w:rPr>
      <w:rFonts w:asciiTheme="majorHAnsi" w:hAnsiTheme="majorHAnsi" w:eastAsiaTheme="majorEastAsia" w:cstheme="majorBidi" w:ascii="Arial Unicode MS" w:hAnsi="Arial Unicode MS" w:eastAsia="Arial Unicode MS" w:cs="Arial Unicode MS" w:hint="eastAsia"/>
      <w:b/>
      <w:color w:val="2E74B5"/>
      <w:sz w:val="32"/>
      <w:szCs w:val="48"/>
      <w:lang w:val="en-US" w:eastAsia="zh-CN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40" w:after="120"/>
      <w:outlineLvl w:val="1"/>
    </w:pPr>
    <w:rPr>
      <w:rFonts w:asciiTheme="majorHAnsi" w:hAnsiTheme="majorHAnsi" w:eastAsiaTheme="majorEastAsia" w:cstheme="majorBidi" w:ascii="Arial Unicode MS" w:hAnsi="Arial Unicode MS" w:eastAsia="Arial Unicode MS" w:cs="Arial Unicode MS" w:hint="eastAsia"/>
      <w:b/>
      <w:color w:val="2E74B5"/>
      <w:sz w:val="26"/>
      <w:szCs w:val="40"/>
      <w:lang w:val="en-US" w:eastAsia="zh-CN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 w:ascii="Arial Unicode MS" w:hAnsi="Arial Unicode MS" w:eastAsia="Arial Unicode MS" w:cs="Arial Unicode MS" w:hint="eastAsia"/>
      <w:b/>
      <w:color w:val="1F4D78"/>
      <w:sz w:val="23"/>
      <w:szCs w:val="32"/>
      <w:lang w:val="en-US" w:eastAsia="zh-CN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3">
    <w:name w:val="Subtitle"/>
    <w:basedOn w:val="1"/>
    <w:next w:val="1"/>
    <w:link w:val="30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5">
    <w:name w:val="Title"/>
    <w:basedOn w:val="1"/>
    <w:next w:val="1"/>
    <w:link w:val="29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8">
    <w:name w:val="Strong"/>
    <w:basedOn w:val="17"/>
    <w:qFormat/>
    <w:uiPriority w:val="22"/>
    <w:rPr>
      <w:b/>
    </w:rPr>
  </w:style>
  <w:style w:type="character" w:styleId="19">
    <w:name w:val="Hyperlink"/>
    <w:basedOn w:val="17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7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5">
    <w:name w:val="标题 6 字符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引用 字符"/>
    <w:basedOn w:val="17"/>
    <w:link w:val="31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</w:style>
  <w:style w:type="character" w:customStyle="1" w:styleId="34">
    <w:name w:val="明显强调1"/>
    <w:basedOn w:val="17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</w:pPr>
    <w:rPr>
      <w:i/>
      <w:iCs/>
      <w:color w:val="104862" w:themeColor="accent1" w:themeShade="BF"/>
    </w:rPr>
  </w:style>
  <w:style w:type="character" w:customStyle="1" w:styleId="36">
    <w:name w:val="明显引用 字符"/>
    <w:basedOn w:val="17"/>
    <w:link w:val="35"/>
    <w:qFormat/>
    <w:uiPriority w:val="30"/>
    <w:rPr>
      <w:i/>
      <w:iCs/>
      <w:color w:val="104862" w:themeColor="accent1" w:themeShade="BF"/>
    </w:rPr>
  </w:style>
  <w:style w:type="character" w:customStyle="1" w:styleId="37">
    <w:name w:val="明显参考1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7"/>
    <w:link w:val="12"/>
    <w:qFormat/>
    <w:uiPriority w:val="99"/>
    <w:rPr>
      <w:kern w:val="2"/>
      <w:sz w:val="18"/>
      <w:szCs w:val="18"/>
      <w14:ligatures w14:val="standardContextual"/>
    </w:rPr>
  </w:style>
  <w:style w:type="character" w:customStyle="1" w:styleId="39">
    <w:name w:val="页脚 字符"/>
    <w:basedOn w:val="17"/>
    <w:link w:val="11"/>
    <w:qFormat/>
    <w:uiPriority w:val="99"/>
    <w:rPr>
      <w:kern w:val="2"/>
      <w:sz w:val="18"/>
      <w:szCs w:val="18"/>
      <w14:ligatures w14:val="standardContextual"/>
    </w:rPr>
  </w:style>
  <w:style w:type="character" w:customStyle="1" w:styleId="40">
    <w:name w:val="Unresolved Mention"/>
    <w:basedOn w:val="17"/>
    <w:semiHidden/>
    <w:unhideWhenUsed/>
    <w:qFormat/>
    <w:uiPriority w:val="99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100" w:line="264" w:lineRule="auto"/>
      <w:ind w:left="720" w:hanging="360"/>
      <w:contextualSpacing/>
    </w:pPr>
    <w:rPr>
      <w:rFonts w:ascii="Arial Unicode MS" w:hAnsi="Arial Unicode MS" w:eastAsia="Arial Unicode MS" w:cs="Arial Unicode MS" w:hint="eastAsia"/>
      <w:sz w:val="21"/>
      <w:lang w:val="en-US" w:eastAsia="zh-CN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100" w:line="264" w:lineRule="auto"/>
      <w:ind w:left="720" w:hanging="360"/>
      <w:contextualSpacing/>
    </w:pPr>
    <w:rPr>
      <w:rFonts w:ascii="Arial Unicode MS" w:hAnsi="Arial Unicode MS" w:eastAsia="Arial Unicode MS" w:cs="Arial Unicode MS" w:hint="eastAsia"/>
      <w:sz w:val="21"/>
      <w:lang w:val="en-US" w:eastAsia="zh-CN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numbering" Target="numbering.xml"/><Relationship Id="rId8" Type="http://schemas.openxmlformats.org/officeDocument/2006/relationships/header" Target="header1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843</Words>
  <Characters>904</Characters>
  <Lines>2</Lines>
  <Paragraphs>1</Paragraphs>
  <TotalTime>71</TotalTime>
  <ScaleCrop>false</ScaleCrop>
  <LinksUpToDate>false</LinksUpToDate>
  <CharactersWithSpaces>1058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2024-05-24T05:53:00Z</dcterms:created>
  <dc:creator>宁 罗</dc:creator>
  <cp:lastModifiedBy>熵能随身听</cp:lastModifiedBy>
  <dcterms:modified xsi:type="dcterms:W3CDTF">2026-08-24T02:00:01Z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14BF13BC324A4DFFAB98D64AF8192D57_13</vt:lpwstr>
  </property>
  <property fmtid="{D5CDD505-2E9C-101B-9397-08002B2CF9AE}" pid="4" name="KSOTemplateDocerSaveRecord">
    <vt:lpwstr>eyJoZGlkIjoiODA5ZWFhMjNmYWEyNWUxNGI3YTY2MGI3NWQ1MzMyZDEiLCJ1c2VySWQiOiIxMzk3NTU5NjkxIn0=</vt:lpwstr>
  </property>
</Properties>
</file>