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spacing w:before="240" w:after="120"/>
        <w:jc w:val="center"/>
      </w:pPr>
      <w:r>
        <w:rPr>
          <w:rFonts w:ascii="Arial Unicode MS" w:hAnsi="Arial Unicode MS" w:eastAsia="Arial Unicode MS" w:cs="Arial Unicode MS" w:hint="eastAsia"/>
          <w:b/>
          <w:color w:val="0B2545"/>
          <w:sz w:val="42"/>
          <w:lang w:val="en-US" w:eastAsia="zh-CN" w:bidi="ar"/>
          <w:szCs w:val="42"/>
        </w:rPr>
        <w:t>附件1 通用主体资质与申报须知</w:t>
      </w:r>
    </w:p>
    <w:p>
      <w:pPr>
        <w:spacing w:after="280"/>
        <w:jc w:val="center"/>
      </w:pPr>
      <w:r>
        <w:rPr>
          <w:rFonts w:ascii="Arial Unicode MS" w:hAnsi="Arial Unicode MS" w:eastAsia="Arial Unicode MS" w:cs="Arial Unicode MS" w:hint="eastAsia"/>
          <w:color w:val="5F6B7A"/>
          <w:sz w:val="23"/>
          <w:lang w:val="en-US" w:eastAsia="zh-CN" w:bidi="ar"/>
          <w:szCs w:val="23"/>
        </w:rPr>
        <w:t>适用于内容合作、渠道合作及双赛道申报</w:t>
      </w:r>
    </w:p>
    <w:tbl>
      <w:tblPr>
        <w:tblStyle w:val="TableGrid"/>
        <w:tblW w:type="dxa" w:w="902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4510"/>
        <w:gridCol w:w="4510"/>
      </w:tblGrid>
      <w:tr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版本：V1.0</w:t>
            </w:r>
          </w:p>
        </w:tc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日期：2026年8月24日</w:t>
            </w:r>
          </w:p>
        </w:tc>
      </w:tr>
      <w:tr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文件属性：公告附件1</w:t>
            </w:r>
          </w:p>
        </w:tc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业务范围：明星全曲包及相关融合权益</w:t>
            </w:r>
          </w:p>
        </w:tc>
      </w:tr>
    </w:tbl>
    <w:p>
      <w:pPr>
        <w:spacing w:after="0"/>
      </w:pPr>
    </w:p>
    <w:p>
      <w:pPr>
        <w:pStyle w:val="2"/>
      </w:pPr>
      <w:r>
        <w:t>一、通用主体资质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1450"/>
        <w:gridCol w:w="4400"/>
        <w:gridCol w:w="3170"/>
      </w:tblGrid>
      <w:tr>
        <w:trPr>
          <w:tblHeader w:val="true"/>
        </w:trPr>
        <w:tc>
          <w:tcPr>
            <w:tcW w:type="dxa" w:w="1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项目</w:t>
            </w:r>
          </w:p>
        </w:tc>
        <w:tc>
          <w:tcPr>
            <w:tcW w:type="dxa" w:w="4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要求</w:t>
            </w:r>
          </w:p>
        </w:tc>
        <w:tc>
          <w:tcPr>
            <w:tcW w:type="dxa" w:w="31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证明材料</w:t>
            </w:r>
          </w:p>
        </w:tc>
      </w:tr>
      <w:tr>
        <w:tc>
          <w:tcPr>
            <w:tcW w:type="dxa" w:w="1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主体资格</w:t>
            </w:r>
          </w:p>
        </w:tc>
        <w:tc>
          <w:tcPr>
            <w:tcW w:type="dxa" w:w="4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境内企业提供加载统一社会信用代码的营业执照；境外主体提供合法设立及有效存续证明，并按要求完成认证或翻译。</w:t>
            </w:r>
          </w:p>
        </w:tc>
        <w:tc>
          <w:tcPr>
            <w:tcW w:type="dxa" w:w="31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营业执照/注册证明扫描件</w:t>
            </w:r>
          </w:p>
        </w:tc>
      </w:tr>
      <w:tr>
        <w:tc>
          <w:tcPr>
            <w:tcW w:type="dxa" w:w="1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经营状态</w:t>
            </w:r>
          </w:p>
        </w:tc>
        <w:tc>
          <w:tcPr>
            <w:tcW w:type="dxa" w:w="4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依法有效存续，无影响履约的重大经营异常、严重违法失信或破产清算情形。</w:t>
            </w:r>
          </w:p>
        </w:tc>
        <w:tc>
          <w:tcPr>
            <w:tcW w:type="dxa" w:w="31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国家企业信用信息公示系统等公开查询截图，查询日距提交日不超过30日</w:t>
            </w:r>
          </w:p>
        </w:tc>
      </w:tr>
      <w:tr>
        <w:tc>
          <w:tcPr>
            <w:tcW w:type="dxa" w:w="1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财税能力</w:t>
            </w:r>
          </w:p>
        </w:tc>
        <w:tc>
          <w:tcPr>
            <w:tcW w:type="dxa" w:w="4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具备合法结算条件，原则上可按合同约定开具增值税专用发票。</w:t>
            </w:r>
          </w:p>
        </w:tc>
        <w:tc>
          <w:tcPr>
            <w:tcW w:type="dxa" w:w="31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开票信息及一般纳税人证明（如适用）</w:t>
            </w:r>
          </w:p>
        </w:tc>
      </w:tr>
      <w:tr>
        <w:tc>
          <w:tcPr>
            <w:tcW w:type="dxa" w:w="1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银行信息</w:t>
            </w:r>
          </w:p>
        </w:tc>
        <w:tc>
          <w:tcPr>
            <w:tcW w:type="dxa" w:w="4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提供与申报主体一致的银行基本存款账户信息。</w:t>
            </w:r>
          </w:p>
        </w:tc>
        <w:tc>
          <w:tcPr>
            <w:tcW w:type="dxa" w:w="31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账户信息证明，敏感字段可适当遮蔽</w:t>
            </w:r>
          </w:p>
        </w:tc>
      </w:tr>
      <w:tr>
        <w:tc>
          <w:tcPr>
            <w:tcW w:type="dxa" w:w="1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授权代表</w:t>
            </w:r>
          </w:p>
        </w:tc>
        <w:tc>
          <w:tcPr>
            <w:tcW w:type="dxa" w:w="4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非法定代表人办理申报的，应取得有效授权。</w:t>
            </w:r>
          </w:p>
        </w:tc>
        <w:tc>
          <w:tcPr>
            <w:tcW w:type="dxa" w:w="31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授权代表书及身份证明脱敏件</w:t>
            </w:r>
          </w:p>
        </w:tc>
      </w:tr>
      <w:tr>
        <w:tc>
          <w:tcPr>
            <w:tcW w:type="dxa" w:w="1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信用合规</w:t>
            </w:r>
          </w:p>
        </w:tc>
        <w:tc>
          <w:tcPr>
            <w:tcW w:type="dxa" w:w="4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未列入咪咕公司不良信用名单，不存在可能影响本项目的重大诉讼、处罚或舆情风险。</w:t>
            </w:r>
          </w:p>
        </w:tc>
        <w:tc>
          <w:tcPr>
            <w:tcW w:type="dxa" w:w="31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申报声明及必要说明</w:t>
            </w:r>
          </w:p>
        </w:tc>
      </w:tr>
    </w:tbl>
    <w:p>
      <w:pPr>
        <w:spacing w:after="0"/>
      </w:pPr>
    </w:p>
    <w:p>
      <w:pPr>
        <w:pStyle w:val="2"/>
      </w:pPr>
      <w:r>
        <w:t>二、赛道基础接入要求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1450"/>
        <w:gridCol w:w="4450"/>
        <w:gridCol w:w="3120"/>
      </w:tblGrid>
      <w:tr>
        <w:trPr>
          <w:tblHeader w:val="true"/>
        </w:trPr>
        <w:tc>
          <w:tcPr>
            <w:tcW w:type="dxa" w:w="1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赛道</w:t>
            </w:r>
          </w:p>
        </w:tc>
        <w:tc>
          <w:tcPr>
            <w:tcW w:type="dxa" w:w="4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基础接入要求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提交证明</w:t>
            </w:r>
          </w:p>
        </w:tc>
      </w:tr>
      <w:tr>
        <w:tc>
          <w:tcPr>
            <w:tcW w:type="dxa" w:w="1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内容合作</w:t>
            </w:r>
          </w:p>
        </w:tc>
        <w:tc>
          <w:tcPr>
            <w:tcW w:type="dxa" w:w="4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已完成数字音视频内容合作、融媒创作者/订阅内容合作及明星闹铃业务相关基础接入，协议或申请处于有效状态。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有效合同的封面、主体页、期限页、签章页及相关业务接入证明。</w:t>
            </w:r>
          </w:p>
        </w:tc>
      </w:tr>
      <w:tr>
        <w:tc>
          <w:tcPr>
            <w:tcW w:type="dxa" w:w="1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渠道合作</w:t>
            </w:r>
          </w:p>
        </w:tc>
        <w:tc>
          <w:tcPr>
            <w:tcW w:type="dxa" w:w="4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已正式接入咪咕音乐渠道合作体系，并签署有效的数字产品销售或同类渠道合作协议。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有效协议的封面、主体页、期限页和签章页。</w:t>
            </w:r>
          </w:p>
        </w:tc>
      </w:tr>
      <w:tr>
        <w:tc>
          <w:tcPr>
            <w:tcW w:type="dxa" w:w="1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双赛道</w:t>
            </w:r>
          </w:p>
        </w:tc>
        <w:tc>
          <w:tcPr>
            <w:tcW w:type="dxa" w:w="4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分别满足内容合作与渠道合作基础接入要求。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两个赛道证明分别归档。</w:t>
            </w:r>
          </w:p>
        </w:tc>
      </w:tr>
    </w:tbl>
    <w:p>
      <w:pPr>
        <w:spacing w:after="0"/>
      </w:pPr>
    </w:p>
    <w:p>
      <w:pPr>
        <w:pStyle w:val="2"/>
      </w:pPr>
      <w:r>
        <w:t>三、材料编制规则</w:t>
      </w:r>
    </w:p>
    <w:p>
      <w:pPr>
        <w:pStyle w:val="ListNumber"/>
        <w:numPr>
          <w:ilvl w:val="0"/>
          <w:numId w:val="10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申报书须同时提交可编辑DOCX版和加盖公章的PDF扫描版；内容应一致。</w:t>
      </w:r>
    </w:p>
    <w:p>
      <w:pPr>
        <w:pStyle w:val="ListNumber"/>
        <w:numPr>
          <w:ilvl w:val="0"/>
          <w:numId w:val="10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全部证明材料应清晰、连续、可核验，并在申报书的证据索引中标注文件名、页码、证明事项、形成日期和有效期。</w:t>
      </w:r>
    </w:p>
    <w:p>
      <w:pPr>
        <w:pStyle w:val="ListNumber"/>
        <w:numPr>
          <w:ilvl w:val="0"/>
          <w:numId w:val="10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公开平台数据截图应显示账号名称、账号ID、认证状态、粉丝量、页面地址或可识别信息及统计日期；原则上距提交日不超过30日。</w:t>
      </w:r>
    </w:p>
    <w:p>
      <w:pPr>
        <w:pStyle w:val="ListNumber"/>
        <w:numPr>
          <w:ilvl w:val="0"/>
          <w:numId w:val="10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合同仅需提交与主体、合作范围、有效期和签章有关的必要页面。价格、账号、证件号码等无关敏感信息可脱敏，但不得遮蔽核验必需信息。</w:t>
      </w:r>
    </w:p>
    <w:p>
      <w:pPr>
        <w:pStyle w:val="ListNumber"/>
        <w:numPr>
          <w:ilvl w:val="0"/>
          <w:numId w:val="10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涉及第三方个人信息、粉丝群、校园组织或达人后台数据的，申报方应保证具有合法来源并完成必要告知或授权，不得提交与评审无关的个人敏感信息。</w:t>
      </w:r>
    </w:p>
    <w:p>
      <w:pPr>
        <w:pStyle w:val="ListNumber"/>
        <w:numPr>
          <w:ilvl w:val="0"/>
          <w:numId w:val="10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证明材料为外文的，应同时提供中文译文；译文由申报方盖章确认。</w:t>
      </w:r>
    </w:p>
    <w:p>
      <w:pPr>
        <w:pStyle w:val="2"/>
      </w:pPr>
      <w:r>
        <w:t>四、文件目录与命名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1350"/>
        <w:gridCol w:w="4200"/>
        <w:gridCol w:w="3470"/>
      </w:tblGrid>
      <w:tr>
        <w:trPr>
          <w:tblHeader w:val="true"/>
        </w:trPr>
        <w:tc>
          <w:tcPr>
            <w:tcW w:type="dxa" w:w="13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层级</w:t>
            </w:r>
          </w:p>
        </w:tc>
        <w:tc>
          <w:tcPr>
            <w:tcW w:type="dxa" w:w="4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命名规则</w:t>
            </w:r>
          </w:p>
        </w:tc>
        <w:tc>
          <w:tcPr>
            <w:tcW w:type="dxa" w:w="34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示例</w:t>
            </w:r>
          </w:p>
        </w:tc>
      </w:tr>
      <w:tr>
        <w:tc>
          <w:tcPr>
            <w:tcW w:type="dxa" w:w="13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压缩包</w:t>
            </w:r>
          </w:p>
        </w:tc>
        <w:tc>
          <w:tcPr>
            <w:tcW w:type="dxa" w:w="4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赛道-公司全称-明星/渠道类型-提交日期</w:t>
            </w:r>
          </w:p>
        </w:tc>
        <w:tc>
          <w:tcPr>
            <w:tcW w:type="dxa" w:w="34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内容合作-XX公司-某明星-20260824.zip</w:t>
            </w:r>
          </w:p>
        </w:tc>
      </w:tr>
      <w:tr>
        <w:tc>
          <w:tcPr>
            <w:tcW w:type="dxa" w:w="13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申报书</w:t>
            </w:r>
          </w:p>
        </w:tc>
        <w:tc>
          <w:tcPr>
            <w:tcW w:type="dxa" w:w="4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附件编号-文件名称-公司全称</w:t>
            </w:r>
          </w:p>
        </w:tc>
        <w:tc>
          <w:tcPr>
            <w:tcW w:type="dxa" w:w="34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附件4-内容合作申报书-XX公司.docx/pdf</w:t>
            </w:r>
          </w:p>
        </w:tc>
      </w:tr>
      <w:tr>
        <w:tc>
          <w:tcPr>
            <w:tcW w:type="dxa" w:w="13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证据文件</w:t>
            </w:r>
          </w:p>
        </w:tc>
        <w:tc>
          <w:tcPr>
            <w:tcW w:type="dxa" w:w="4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证据编号-证明事项-主体/账号-日期</w:t>
            </w:r>
          </w:p>
        </w:tc>
        <w:tc>
          <w:tcPr>
            <w:tcW w:type="dxa" w:w="34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E05-抖音粉丝截图-某明星-20260824.pdf</w:t>
            </w:r>
          </w:p>
        </w:tc>
      </w:tr>
      <w:tr>
        <w:tc>
          <w:tcPr>
            <w:tcW w:type="dxa" w:w="13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双赛道</w:t>
            </w:r>
          </w:p>
        </w:tc>
        <w:tc>
          <w:tcPr>
            <w:tcW w:type="dxa" w:w="4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A内容合作、B渠道合作两个一级文件夹</w:t>
            </w:r>
          </w:p>
        </w:tc>
        <w:tc>
          <w:tcPr>
            <w:tcW w:type="dxa" w:w="34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A内容合作/；B渠道合作/</w:t>
            </w:r>
          </w:p>
        </w:tc>
      </w:tr>
    </w:tbl>
    <w:p>
      <w:pPr>
        <w:spacing w:after="0"/>
      </w:pPr>
    </w:p>
    <w:p>
      <w:pPr>
        <w:spacing w:before="0" w:after="120" w:line="264" w:lineRule="auto"/>
        <w:jc w:val="left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单封邮件附件建议不超过50MB；超出时可提供咪咕认可的安全下载方式，并在邮件正文列明文件数量、总大小、下载有效期和校验信息。未经书面同意，不得使用公开网盘传播未公开授权材料。</w:t>
      </w:r>
    </w:p>
    <w:p>
      <w:pPr>
        <w:pStyle w:val="2"/>
      </w:pPr>
      <w:r>
        <w:t>五、完整性检查与补正</w:t>
      </w:r>
    </w:p>
    <w:p>
      <w:pPr>
        <w:pStyle w:val="ListNumber"/>
        <w:numPr>
          <w:ilvl w:val="0"/>
          <w:numId w:val="11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咪咕音乐收到材料后开展形式和完整性检查，不完整材料暂不进入专业评审。</w:t>
      </w:r>
    </w:p>
    <w:p>
      <w:pPr>
        <w:pStyle w:val="ListNumber"/>
        <w:numPr>
          <w:ilvl w:val="0"/>
          <w:numId w:val="11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补正通知将发送至申报联系人邮箱；申报方应在通知要求期限内一次性补正。</w:t>
      </w:r>
    </w:p>
    <w:p>
      <w:pPr>
        <w:pStyle w:val="ListNumber"/>
        <w:numPr>
          <w:ilvl w:val="0"/>
          <w:numId w:val="11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补正不得改变申报主体或以补正名义新增未经申报的核心资源；确需重大调整的，应重新提交版本。</w:t>
      </w:r>
    </w:p>
    <w:p>
      <w:pPr>
        <w:pStyle w:val="ListNumber"/>
        <w:numPr>
          <w:ilvl w:val="0"/>
          <w:numId w:val="11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咪咕音乐可要求核验原件、后台数据、授权链或与权利主体访谈。拒绝合理核验的，相关资源不予认定。</w:t>
      </w:r>
    </w:p>
    <w:p>
      <w:pPr>
        <w:pStyle w:val="2"/>
      </w:pPr>
      <w:r>
        <w:t>六、版本与长期公告管理</w:t>
      </w:r>
    </w:p>
    <w:p>
      <w:pPr>
        <w:spacing w:before="0" w:after="120" w:line="264" w:lineRule="auto"/>
        <w:jc w:val="left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本公告长期有效。申请方每次提交前应下载公告页面展示的最新版本；材料提交后如公告发生重大变化，已进入评审的原则上按提交时版本处理，尚未完成补正的可按通知切换新版。</w:t>
      </w:r>
    </w:p>
    <w:sectPr>
      <w:headerReference w:type="default" r:id="rId8"/>
      <w:footerReference w:type="default" r:id="rId9"/>
      <w:pgSz w:w="11906" w:h="16838"/>
      <w:pgMar w:top="1332" w:right="1417" w:bottom="1247" w:left="1417" w:header="709" w:footer="709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Arial Unicode MS" w:hAnsi="Arial Unicode MS" w:eastAsia="Arial Unicode MS" w:cs="Arial Unicode MS" w:hint="eastAsia"/>
        <w:color w:val="5F6B7A"/>
        <w:sz w:val="17"/>
        <w:lang w:val="en-US" w:eastAsia="zh-CN" w:bidi="ar"/>
        <w:szCs w:val="17"/>
      </w:rPr>
      <w:t xml:space="preserve">公开发布材料 | V1.0 | </w:t>
    </w:r>
    <w:r>
      <w:rPr>
        <w:rFonts w:ascii="Arial Unicode MS" w:hAnsi="Arial Unicode MS" w:eastAsia="Arial Unicode MS" w:cs="Arial Unicode MS" w:hint="eastAsia"/>
        <w:color w:val="5F6B7A"/>
        <w:sz w:val="18"/>
        <w:lang w:val="en-US" w:eastAsia="zh-CN" w:bidi="ar"/>
        <w:szCs w:val="18"/>
      </w:rPr>
      <w:fldChar w:fldCharType="begin"/>
      <w:instrText xml:space="preserve"> PAGE </w:instrText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rial Unicode MS" w:hAnsi="Arial Unicode MS" w:eastAsia="Arial Unicode MS" w:cs="Arial Unicode MS" w:hint="eastAsia"/>
        <w:b/>
        <w:color w:val="5F6B7A"/>
        <w:sz w:val="17"/>
        <w:lang w:val="en-US" w:eastAsia="zh-CN" w:bidi="ar"/>
        <w:szCs w:val="17"/>
      </w:rPr>
      <w:t>咪咕音乐 | 明星产品业务合作伙伴甄选 | 公告附件1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mZjJjMThhOWFhNjJjMGQ1N2FkYWI5YjhkZjcxMTgifQ=="/>
  </w:docVars>
  <w:rsids>
    <w:rsidRoot w:val="004757EC"/>
    <w:rsid w:val="00005156"/>
    <w:rsid w:val="000175AD"/>
    <w:rsid w:val="00070992"/>
    <w:rsid w:val="0009255E"/>
    <w:rsid w:val="00154C11"/>
    <w:rsid w:val="001610F1"/>
    <w:rsid w:val="00161EE9"/>
    <w:rsid w:val="002124E6"/>
    <w:rsid w:val="0025388A"/>
    <w:rsid w:val="00260DC9"/>
    <w:rsid w:val="00270AC6"/>
    <w:rsid w:val="00271BFA"/>
    <w:rsid w:val="002F228D"/>
    <w:rsid w:val="002F35E7"/>
    <w:rsid w:val="00320CAE"/>
    <w:rsid w:val="00332F0B"/>
    <w:rsid w:val="003B7A77"/>
    <w:rsid w:val="003D1347"/>
    <w:rsid w:val="004026A4"/>
    <w:rsid w:val="00404551"/>
    <w:rsid w:val="0041208F"/>
    <w:rsid w:val="0046452D"/>
    <w:rsid w:val="004757EC"/>
    <w:rsid w:val="0053596E"/>
    <w:rsid w:val="00544A82"/>
    <w:rsid w:val="0058594F"/>
    <w:rsid w:val="005865EC"/>
    <w:rsid w:val="005C4003"/>
    <w:rsid w:val="005C6D10"/>
    <w:rsid w:val="00613966"/>
    <w:rsid w:val="00670483"/>
    <w:rsid w:val="006B52F5"/>
    <w:rsid w:val="00725B15"/>
    <w:rsid w:val="00747E9C"/>
    <w:rsid w:val="007C103D"/>
    <w:rsid w:val="00823560"/>
    <w:rsid w:val="008676FF"/>
    <w:rsid w:val="008D13DD"/>
    <w:rsid w:val="00934A30"/>
    <w:rsid w:val="00961D53"/>
    <w:rsid w:val="00A51654"/>
    <w:rsid w:val="00AB1308"/>
    <w:rsid w:val="00AE273E"/>
    <w:rsid w:val="00B92983"/>
    <w:rsid w:val="00BE722E"/>
    <w:rsid w:val="00BF0550"/>
    <w:rsid w:val="00C52110"/>
    <w:rsid w:val="00C8771C"/>
    <w:rsid w:val="00C90AB2"/>
    <w:rsid w:val="00CB56CB"/>
    <w:rsid w:val="00CB62DD"/>
    <w:rsid w:val="00CC4F50"/>
    <w:rsid w:val="00D25A97"/>
    <w:rsid w:val="00DF6A9D"/>
    <w:rsid w:val="00E011DC"/>
    <w:rsid w:val="00E20B09"/>
    <w:rsid w:val="00E74943"/>
    <w:rsid w:val="00EA49A9"/>
    <w:rsid w:val="00EA6BB5"/>
    <w:rsid w:val="00EC076C"/>
    <w:rsid w:val="00ED091C"/>
    <w:rsid w:val="00F11B40"/>
    <w:rsid w:val="00F8075E"/>
    <w:rsid w:val="00F80CF9"/>
    <w:rsid w:val="00F84592"/>
    <w:rsid w:val="00FA5AB4"/>
    <w:rsid w:val="05330EB7"/>
    <w:rsid w:val="0A3F2E34"/>
    <w:rsid w:val="16C81041"/>
    <w:rsid w:val="18BB4569"/>
    <w:rsid w:val="1CCE26B8"/>
    <w:rsid w:val="1D966E34"/>
    <w:rsid w:val="26835E74"/>
    <w:rsid w:val="28AC7CFA"/>
    <w:rsid w:val="2E053164"/>
    <w:rsid w:val="393458D7"/>
    <w:rsid w:val="3CBD705A"/>
    <w:rsid w:val="43A7002A"/>
    <w:rsid w:val="44CE2881"/>
    <w:rsid w:val="4E05458D"/>
    <w:rsid w:val="51C4037D"/>
    <w:rsid w:val="53AA07EE"/>
    <w:rsid w:val="54DF1708"/>
    <w:rsid w:val="56FE79BD"/>
    <w:rsid w:val="5A1648D3"/>
    <w:rsid w:val="5A1B7FE4"/>
    <w:rsid w:val="6D5D26CF"/>
    <w:rsid w:val="70FD016F"/>
    <w:rsid w:val="77D0645A"/>
    <w:rsid w:val="7C1B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20" w:line="264" w:lineRule="auto" w:before="0"/>
      <w:jc w:val="center"/>
    </w:pPr>
    <w:rPr>
      <w:rFonts w:ascii="Arial Unicode MS" w:hAnsi="Arial Unicode MS" w:eastAsia="Arial Unicode MS" w:cstheme="minorBidi" w:cs="Arial Unicode MS" w:hint="eastAsia"/>
      <w:color w:val="000000"/>
      <w:kern w:val="2"/>
      <w:sz w:val="21"/>
      <w:szCs w:val="24"/>
      <w:shd w:val="clear" w:color="auto" w:fill="FFFFFF"/>
      <w:lang w:val="en-US" w:eastAsia="zh-CN" w:bidi="ar-SA"/>
      <w14:ligatures w14:val="standardContextual"/>
      <w:lang w:val="en-US" w:eastAsia="zh-CN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20" w:after="160"/>
      <w:outlineLvl w:val="0"/>
    </w:pPr>
    <w:rPr>
      <w:rFonts w:asciiTheme="majorHAnsi" w:hAnsiTheme="majorHAnsi" w:eastAsiaTheme="majorEastAsia" w:cstheme="majorBidi" w:ascii="Arial Unicode MS" w:hAnsi="Arial Unicode MS" w:eastAsia="Arial Unicode MS" w:cs="Arial Unicode MS" w:hint="eastAsia"/>
      <w:b/>
      <w:color w:val="2E74B5"/>
      <w:sz w:val="32"/>
      <w:szCs w:val="48"/>
      <w:lang w:val="en-US" w:eastAsia="zh-CN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40" w:after="120"/>
      <w:outlineLvl w:val="1"/>
    </w:pPr>
    <w:rPr>
      <w:rFonts w:asciiTheme="majorHAnsi" w:hAnsiTheme="majorHAnsi" w:eastAsiaTheme="majorEastAsia" w:cstheme="majorBidi" w:ascii="Arial Unicode MS" w:hAnsi="Arial Unicode MS" w:eastAsia="Arial Unicode MS" w:cs="Arial Unicode MS" w:hint="eastAsia"/>
      <w:b/>
      <w:color w:val="2E74B5"/>
      <w:sz w:val="26"/>
      <w:szCs w:val="40"/>
      <w:lang w:val="en-US" w:eastAsia="zh-CN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 w:ascii="Arial Unicode MS" w:hAnsi="Arial Unicode MS" w:eastAsia="Arial Unicode MS" w:cs="Arial Unicode MS" w:hint="eastAsia"/>
      <w:b/>
      <w:color w:val="1F4D78"/>
      <w:sz w:val="23"/>
      <w:szCs w:val="32"/>
      <w:lang w:val="en-US" w:eastAsia="zh-CN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Subtitle"/>
    <w:basedOn w:val="1"/>
    <w:next w:val="1"/>
    <w:link w:val="30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5">
    <w:name w:val="Title"/>
    <w:basedOn w:val="1"/>
    <w:next w:val="1"/>
    <w:link w:val="29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Strong"/>
    <w:basedOn w:val="17"/>
    <w:qFormat/>
    <w:uiPriority w:val="22"/>
    <w:rPr>
      <w:b/>
    </w:rPr>
  </w:style>
  <w:style w:type="character" w:styleId="19">
    <w:name w:val="Hyperlink"/>
    <w:basedOn w:val="17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5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7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明显强调1"/>
    <w:basedOn w:val="17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7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明显参考1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7"/>
    <w:link w:val="12"/>
    <w:qFormat/>
    <w:uiPriority w:val="99"/>
    <w:rPr>
      <w:kern w:val="2"/>
      <w:sz w:val="18"/>
      <w:szCs w:val="18"/>
      <w14:ligatures w14:val="standardContextual"/>
    </w:rPr>
  </w:style>
  <w:style w:type="character" w:customStyle="1" w:styleId="39">
    <w:name w:val="页脚 字符"/>
    <w:basedOn w:val="17"/>
    <w:link w:val="11"/>
    <w:qFormat/>
    <w:uiPriority w:val="99"/>
    <w:rPr>
      <w:kern w:val="2"/>
      <w:sz w:val="18"/>
      <w:szCs w:val="18"/>
      <w14:ligatures w14:val="standardContextual"/>
    </w:rPr>
  </w:style>
  <w:style w:type="character" w:customStyle="1" w:styleId="40">
    <w:name w:val="Unresolved Mention"/>
    <w:basedOn w:val="17"/>
    <w:semiHidden/>
    <w:unhideWhenUsed/>
    <w:qFormat/>
    <w:uiPriority w:val="99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00" w:line="264" w:lineRule="auto"/>
      <w:ind w:left="720" w:hanging="360"/>
      <w:contextualSpacing/>
    </w:pPr>
    <w:rPr>
      <w:rFonts w:ascii="Arial Unicode MS" w:hAnsi="Arial Unicode MS" w:eastAsia="Arial Unicode MS" w:cs="Arial Unicode MS" w:hint="eastAsia"/>
      <w:sz w:val="21"/>
      <w:lang w:val="en-US" w:eastAsia="zh-CN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100" w:line="264" w:lineRule="auto"/>
      <w:ind w:left="720" w:hanging="360"/>
      <w:contextualSpacing/>
    </w:pPr>
    <w:rPr>
      <w:rFonts w:ascii="Arial Unicode MS" w:hAnsi="Arial Unicode MS" w:eastAsia="Arial Unicode MS" w:cs="Arial Unicode MS" w:hint="eastAsia"/>
      <w:sz w:val="21"/>
      <w:lang w:val="en-US" w:eastAsia="zh-CN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numbering" Target="numbering.xml"/><Relationship Id="rId8" Type="http://schemas.openxmlformats.org/officeDocument/2006/relationships/header" Target="header1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843</Words>
  <Characters>904</Characters>
  <Lines>2</Lines>
  <Paragraphs>1</Paragraphs>
  <TotalTime>71</TotalTime>
  <ScaleCrop>false</ScaleCrop>
  <LinksUpToDate>false</LinksUpToDate>
  <CharactersWithSpaces>1058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2024-05-24T05:53:00Z</dcterms:created>
  <dc:creator>宁 罗</dc:creator>
  <cp:lastModifiedBy>熵能随身听</cp:lastModifiedBy>
  <dcterms:modified xsi:type="dcterms:W3CDTF">2026-08-24T02:00:01Z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14BF13BC324A4DFFAB98D64AF8192D57_13</vt:lpwstr>
  </property>
  <property fmtid="{D5CDD505-2E9C-101B-9397-08002B2CF9AE}" pid="4" name="KSOTemplateDocerSaveRecord">
    <vt:lpwstr>eyJoZGlkIjoiODA5ZWFhMjNmYWEyNWUxNGI3YTY2MGI3NWQ1MzMyZDEiLCJ1c2VySWQiOiIxMzk3NTU5NjkxIn0=</vt:lpwstr>
  </property>
</Properties>
</file>