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numPr>
          <w:ilvl w:val="0"/>
          <w:numId w:val="0"/>
        </w:numPr>
        <w:spacing w:line="600" w:lineRule="exact"/>
        <w:jc w:val="center"/>
        <w:outlineLvl w:val="0"/>
        <w:rPr>
          <w:rFonts w:ascii="仿宋_GB2312" w:hAnsi="Calibri" w:eastAsia="仿宋_GB2312"/>
          <w:b/>
          <w:bCs/>
          <w:kern w:val="2"/>
          <w:sz w:val="32"/>
          <w:szCs w:val="32"/>
        </w:rPr>
      </w:pPr>
      <w:bookmarkStart w:id="0" w:name="OLE_LINK7"/>
      <w:bookmarkStart w:id="1" w:name="OLE_LINK8"/>
      <w:r>
        <w:rPr>
          <w:rFonts w:hint="eastAsia" w:ascii="仿宋_GB2312" w:hAnsi="Calibri" w:eastAsia="仿宋_GB2312"/>
          <w:b/>
          <w:bCs/>
          <w:kern w:val="2"/>
          <w:sz w:val="32"/>
          <w:szCs w:val="32"/>
        </w:rPr>
        <w:t>基本资质要求</w:t>
      </w:r>
    </w:p>
    <w:bookmarkEnd w:id="0"/>
    <w:bookmarkEnd w:id="1"/>
    <w:p>
      <w:pPr>
        <w:spacing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具备企业法人营业执照、组织机构代码证、税务登记证等相关证照；对已更新资质的企业，可提供三证合一的营业执照。国外企业需提供其具备公司主体资格的证明材料，可包括公司注册证书、章程、资信证明、中国驻当地领馆出具的认证等。</w:t>
      </w:r>
    </w:p>
    <w:p>
      <w:pPr>
        <w:spacing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近三年未被纳入国家企业信用信息公示系统的严重违法失信企业名单。</w:t>
      </w:r>
    </w:p>
    <w:p>
      <w:pPr>
        <w:spacing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当前未被纳入国家企业信用信息公示系统的经营异常名录。</w:t>
      </w:r>
    </w:p>
    <w:p>
      <w:pPr>
        <w:spacing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具备自有或自控推广资源及相关证明，符合相关法律法规证照要求。</w:t>
      </w:r>
    </w:p>
    <w:p>
      <w:pPr>
        <w:spacing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1年内没有因为未完全履约、违规退出或</w:t>
      </w:r>
      <w:r>
        <w:rPr>
          <w:rFonts w:hint="eastAsia" w:ascii="仿宋_GB2312" w:hAnsi="仿宋_GB2312" w:eastAsia="仿宋_GB2312" w:cs="仿宋_GB2312"/>
          <w:sz w:val="28"/>
          <w:szCs w:val="28"/>
          <w:lang w:eastAsia="zh-CN"/>
        </w:rPr>
        <w:t>月度考核</w:t>
      </w:r>
      <w:r>
        <w:rPr>
          <w:rFonts w:hint="eastAsia" w:ascii="仿宋_GB2312" w:hAnsi="仿宋_GB2312" w:eastAsia="仿宋_GB2312" w:cs="仿宋_GB2312"/>
          <w:sz w:val="28"/>
          <w:szCs w:val="28"/>
        </w:rPr>
        <w:t>不满足要求等情况而不再续约。</w:t>
      </w:r>
    </w:p>
    <w:p>
      <w:pPr>
        <w:spacing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未列入咪咕公司不良信用名单、行业黑名单，并符合公司“关注名单库”相关管理要求。</w:t>
      </w:r>
    </w:p>
    <w:p>
      <w:pPr>
        <w:snapToGrid w:val="0"/>
        <w:spacing w:line="600" w:lineRule="exact"/>
        <w:ind w:firstLine="640" w:firstLineChars="200"/>
        <w:rPr>
          <w:rFonts w:ascii="仿宋" w:hAnsi="仿宋" w:eastAsia="仿宋" w:cs="Arial"/>
          <w:sz w:val="32"/>
          <w:szCs w:val="32"/>
        </w:rPr>
      </w:pPr>
    </w:p>
    <w:p>
      <w:pPr>
        <w:pStyle w:val="7"/>
        <w:numPr>
          <w:ilvl w:val="0"/>
          <w:numId w:val="0"/>
        </w:numPr>
        <w:spacing w:line="600" w:lineRule="exact"/>
        <w:jc w:val="center"/>
        <w:outlineLvl w:val="0"/>
        <w:rPr>
          <w:rFonts w:hint="eastAsia" w:ascii="仿宋_GB2312" w:hAnsi="Calibri" w:eastAsia="仿宋_GB2312"/>
          <w:bCs/>
          <w:kern w:val="2"/>
          <w:sz w:val="32"/>
          <w:szCs w:val="32"/>
        </w:rPr>
      </w:pPr>
      <w:r>
        <w:rPr>
          <w:rFonts w:hint="eastAsia" w:ascii="仿宋_GB2312" w:hAnsi="Calibri" w:eastAsia="仿宋_GB2312"/>
          <w:bCs/>
          <w:kern w:val="2"/>
          <w:sz w:val="32"/>
          <w:szCs w:val="32"/>
        </w:rPr>
        <w:t>合作引入资质要求</w:t>
      </w:r>
      <w:bookmarkStart w:id="2" w:name="_GoBack"/>
      <w:bookmarkEnd w:id="2"/>
    </w:p>
    <w:tbl>
      <w:tblPr>
        <w:tblStyle w:val="4"/>
        <w:tblW w:w="8978" w:type="dxa"/>
        <w:tblInd w:w="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9"/>
        <w:gridCol w:w="74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89"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评估项目</w:t>
            </w:r>
          </w:p>
        </w:tc>
        <w:tc>
          <w:tcPr>
            <w:tcW w:w="7489"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8"/>
                <w:szCs w:val="28"/>
                <w:u w:val="none"/>
                <w:lang w:val="en-US" w:eastAsia="zh-CN"/>
              </w:rPr>
            </w:pPr>
            <w:r>
              <w:rPr>
                <w:rFonts w:hint="eastAsia" w:ascii="仿宋_GB2312" w:hAnsi="仿宋_GB2312" w:eastAsia="仿宋_GB2312" w:cs="仿宋_GB2312"/>
                <w:b/>
                <w:bCs/>
                <w:i w:val="0"/>
                <w:iCs w:val="0"/>
                <w:color w:val="000000"/>
                <w:sz w:val="28"/>
                <w:szCs w:val="28"/>
                <w:u w:val="none"/>
                <w:lang w:val="en-US" w:eastAsia="zh-CN"/>
              </w:rPr>
              <w:t>评估规则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1489"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公司成立时间</w:t>
            </w:r>
          </w:p>
        </w:tc>
        <w:tc>
          <w:tcPr>
            <w:tcW w:w="7489" w:type="dxa"/>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2年及以上得10分。不足2年不得分。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1489"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公司注册资本</w:t>
            </w:r>
          </w:p>
        </w:tc>
        <w:tc>
          <w:tcPr>
            <w:tcW w:w="7489" w:type="dxa"/>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i w:val="0"/>
                <w:iCs w:val="0"/>
                <w:color w:val="000000"/>
                <w:kern w:val="0"/>
                <w:sz w:val="28"/>
                <w:szCs w:val="28"/>
                <w:highlight w:val="none"/>
                <w:u w:val="none"/>
                <w:lang w:val="en-US" w:eastAsia="zh-CN" w:bidi="ar"/>
              </w:rPr>
              <w:t>人民币100万以内不得分，100万（含）-300万（不含）5分，300万以上10分</w:t>
            </w:r>
            <w:r>
              <w:rPr>
                <w:rFonts w:hint="eastAsia" w:ascii="仿宋_GB2312" w:hAnsi="仿宋_GB2312" w:eastAsia="仿宋_GB2312" w:cs="仿宋_GB2312"/>
                <w:color w:val="000000"/>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489"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APP资源</w:t>
            </w:r>
          </w:p>
        </w:tc>
        <w:tc>
          <w:tcPr>
            <w:tcW w:w="748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提供APP知识产权证明</w:t>
            </w:r>
          </w:p>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1、最近一个月需超过</w:t>
            </w:r>
            <w:r>
              <w:rPr>
                <w:rStyle w:val="10"/>
                <w:rFonts w:hint="eastAsia" w:ascii="仿宋_GB2312" w:hAnsi="仿宋_GB2312" w:eastAsia="仿宋_GB2312" w:cs="仿宋_GB2312"/>
                <w:color w:val="000000"/>
                <w:sz w:val="28"/>
                <w:szCs w:val="28"/>
                <w:highlight w:val="none"/>
                <w:lang w:val="en-US" w:eastAsia="zh-CN" w:bidi="ar"/>
              </w:rPr>
              <w:t>200万月活；</w:t>
            </w:r>
          </w:p>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2、满足</w:t>
            </w:r>
            <w:r>
              <w:rPr>
                <w:rStyle w:val="10"/>
                <w:rFonts w:hint="eastAsia" w:ascii="仿宋_GB2312" w:hAnsi="仿宋_GB2312" w:eastAsia="仿宋_GB2312" w:cs="仿宋_GB2312"/>
                <w:color w:val="000000"/>
                <w:sz w:val="28"/>
                <w:szCs w:val="28"/>
                <w:highlight w:val="none"/>
                <w:lang w:val="en-US" w:eastAsia="zh-CN" w:bidi="ar"/>
              </w:rPr>
              <w:t>月活</w:t>
            </w:r>
            <w:r>
              <w:rPr>
                <w:rFonts w:hint="eastAsia" w:ascii="仿宋_GB2312" w:hAnsi="仿宋_GB2312" w:eastAsia="仿宋_GB2312" w:cs="仿宋_GB2312"/>
                <w:i w:val="0"/>
                <w:iCs w:val="0"/>
                <w:color w:val="000000"/>
                <w:kern w:val="0"/>
                <w:sz w:val="28"/>
                <w:szCs w:val="28"/>
                <w:highlight w:val="none"/>
                <w:u w:val="none"/>
                <w:lang w:val="en-US" w:eastAsia="zh-CN" w:bidi="ar"/>
              </w:rPr>
              <w:t>条件下，艾瑞或易观最近一个月排名总榜第1～200名得70分</w:t>
            </w:r>
            <w:r>
              <w:rPr>
                <w:rFonts w:hint="eastAsia" w:ascii="仿宋_GB2312" w:hAnsi="仿宋_GB2312" w:eastAsia="仿宋_GB2312" w:cs="仿宋_GB2312"/>
                <w:b w:val="0"/>
                <w:bCs w:val="0"/>
                <w:i w:val="0"/>
                <w:iCs w:val="0"/>
                <w:color w:val="000000"/>
                <w:kern w:val="0"/>
                <w:sz w:val="28"/>
                <w:szCs w:val="28"/>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489"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olor w:val="000000"/>
                <w:kern w:val="0"/>
                <w:sz w:val="28"/>
                <w:szCs w:val="28"/>
                <w:highlight w:val="none"/>
                <w:u w:val="none"/>
                <w:lang w:val="en-US" w:eastAsia="zh-CN" w:bidi="ar-SA"/>
              </w:rPr>
            </w:pPr>
            <w:r>
              <w:rPr>
                <w:rFonts w:hint="eastAsia" w:ascii="仿宋_GB2312" w:hAnsi="仿宋_GB2312" w:eastAsia="仿宋_GB2312" w:cs="仿宋_GB2312"/>
                <w:i w:val="0"/>
                <w:iCs w:val="0"/>
                <w:color w:val="000000"/>
                <w:sz w:val="28"/>
                <w:szCs w:val="28"/>
                <w:highlight w:val="none"/>
                <w:u w:val="none"/>
                <w:lang w:val="en-US" w:eastAsia="zh-CN"/>
              </w:rPr>
              <w:t>拉端能力</w:t>
            </w:r>
          </w:p>
        </w:tc>
        <w:tc>
          <w:tcPr>
            <w:tcW w:w="7489"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提供近6个月内，在1个自然月内为咪咕音乐APP带来1万户新增用户的记录，得10分</w:t>
            </w:r>
          </w:p>
        </w:tc>
      </w:tr>
    </w:tbl>
    <w:p>
      <w:pPr>
        <w:snapToGrid w:val="0"/>
        <w:spacing w:line="600" w:lineRule="exact"/>
        <w:ind w:firstLine="640" w:firstLineChars="200"/>
        <w:rPr>
          <w:rFonts w:ascii="仿宋" w:hAnsi="仿宋" w:eastAsia="仿宋"/>
          <w:sz w:val="32"/>
          <w:szCs w:val="32"/>
        </w:rPr>
      </w:pPr>
    </w:p>
    <w:p>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注：</w:t>
      </w:r>
    </w:p>
    <w:p>
      <w:pPr>
        <w:numPr>
          <w:ilvl w:val="0"/>
          <w:numId w:val="2"/>
        </w:numPr>
        <w:ind w:left="425" w:leftChars="0" w:hanging="425" w:firstLineChars="0"/>
        <w:rPr>
          <w:rFonts w:hint="eastAsia" w:ascii="仿宋_GB2312" w:hAnsi="仿宋_GB2312" w:eastAsia="仿宋_GB2312" w:cs="仿宋_GB2312"/>
          <w:b w:val="0"/>
          <w:bCs w:val="0"/>
          <w:color w:val="000000"/>
          <w:sz w:val="28"/>
          <w:szCs w:val="28"/>
          <w:highlight w:val="none"/>
        </w:rPr>
      </w:pPr>
      <w:r>
        <w:rPr>
          <w:rFonts w:hint="eastAsia" w:ascii="仿宋_GB2312" w:hAnsi="仿宋_GB2312" w:eastAsia="仿宋_GB2312" w:cs="仿宋_GB2312"/>
          <w:b w:val="0"/>
          <w:bCs w:val="0"/>
          <w:color w:val="000000"/>
          <w:sz w:val="28"/>
          <w:szCs w:val="28"/>
          <w:highlight w:val="none"/>
          <w:lang w:val="en-US" w:eastAsia="zh-CN"/>
        </w:rPr>
        <w:t>对评审得分在80分（含）以上的，或评审得分在60分（含）以上并满足核心渠道条件的，可引入并签署数字产品销售合作协议。</w:t>
      </w:r>
    </w:p>
    <w:p>
      <w:pPr>
        <w:numPr>
          <w:ilvl w:val="0"/>
          <w:numId w:val="2"/>
        </w:numPr>
        <w:ind w:left="425" w:leftChars="0" w:hanging="425" w:firstLineChars="0"/>
        <w:rPr>
          <w:rFonts w:hint="eastAsia" w:ascii="仿宋_GB2312" w:hAnsi="仿宋_GB2312" w:eastAsia="仿宋_GB2312" w:cs="仿宋_GB2312"/>
          <w:b w:val="0"/>
          <w:bCs w:val="0"/>
          <w:color w:val="000000"/>
          <w:sz w:val="28"/>
          <w:szCs w:val="28"/>
          <w:highlight w:val="none"/>
        </w:rPr>
      </w:pPr>
      <w:r>
        <w:rPr>
          <w:rFonts w:hint="eastAsia" w:ascii="仿宋_GB2312" w:hAnsi="仿宋_GB2312" w:eastAsia="仿宋_GB2312" w:cs="仿宋_GB2312"/>
          <w:b w:val="0"/>
          <w:bCs w:val="0"/>
          <w:color w:val="000000"/>
          <w:sz w:val="28"/>
          <w:szCs w:val="28"/>
          <w:highlight w:val="none"/>
          <w:lang w:val="en-US" w:eastAsia="zh-CN"/>
        </w:rPr>
        <w:t>对评审得分在60分（含）以上，80分（不含）以下，且不满足核心渠道条件的，可引入并签署数字产品销售合作协议，但若合同开始后的第7-9个月平均月度考核分数未达到60分，或合同开始后的第7-9个月月均收入规模未达到5万元，将</w:t>
      </w:r>
      <w:r>
        <w:rPr>
          <w:rFonts w:hint="eastAsia" w:ascii="仿宋_GB2312" w:hAnsi="仿宋_GB2312" w:eastAsia="仿宋_GB2312" w:cs="仿宋_GB2312"/>
          <w:b w:val="0"/>
          <w:bCs w:val="0"/>
          <w:color w:val="000000"/>
          <w:kern w:val="0"/>
          <w:sz w:val="28"/>
          <w:szCs w:val="28"/>
          <w:highlight w:val="none"/>
          <w:lang w:val="en-US" w:eastAsia="zh-CN" w:bidi="ar"/>
        </w:rPr>
        <w:t>停止该合作渠道推广，合同到期后不再续约。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ongti SC Regular">
    <w:altName w:val="宋体"/>
    <w:panose1 w:val="0201080004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E745C"/>
    <w:multiLevelType w:val="multilevel"/>
    <w:tmpl w:val="0AAE745C"/>
    <w:lvl w:ilvl="0" w:tentative="0">
      <w:start w:val="1"/>
      <w:numFmt w:val="japaneseCounting"/>
      <w:pStyle w:val="7"/>
      <w:lvlText w:val="第%1条"/>
      <w:lvlJc w:val="left"/>
      <w:pPr>
        <w:tabs>
          <w:tab w:val="left" w:pos="709"/>
        </w:tabs>
        <w:ind w:left="0" w:firstLine="420"/>
      </w:pPr>
      <w:rPr>
        <w:rFonts w:hint="eastAsia" w:ascii="楷体" w:hAnsi="楷体" w:eastAsia="楷体" w:cstheme="majorEastAsia"/>
        <w:b/>
        <w:sz w:val="32"/>
        <w:szCs w:val="32"/>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abstractNum w:abstractNumId="1">
    <w:nsid w:val="7BFED5C5"/>
    <w:multiLevelType w:val="singleLevel"/>
    <w:tmpl w:val="7BFED5C5"/>
    <w:lvl w:ilvl="0" w:tentative="0">
      <w:start w:val="1"/>
      <w:numFmt w:val="decimal"/>
      <w:lvlText w:val="%1."/>
      <w:lvlJc w:val="left"/>
      <w:pPr>
        <w:ind w:left="425" w:hanging="425"/>
      </w:pPr>
      <w:rPr>
        <w:rFonts w:hint="default" w:ascii="Songti SC Regular" w:hAnsi="Songti SC Regular" w:eastAsia="Songti SC Regular" w:cs="Songti SC Regular"/>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49"/>
    <w:rsid w:val="00027373"/>
    <w:rsid w:val="000640CD"/>
    <w:rsid w:val="001248AF"/>
    <w:rsid w:val="00222794"/>
    <w:rsid w:val="00320818"/>
    <w:rsid w:val="004E1449"/>
    <w:rsid w:val="0052366B"/>
    <w:rsid w:val="005952CC"/>
    <w:rsid w:val="00605689"/>
    <w:rsid w:val="007B1904"/>
    <w:rsid w:val="00C61FAC"/>
    <w:rsid w:val="00FA68D8"/>
    <w:rsid w:val="22CC0F9B"/>
    <w:rsid w:val="2FAA458C"/>
    <w:rsid w:val="55B17221"/>
    <w:rsid w:val="59AE4BEA"/>
    <w:rsid w:val="79DFBA2F"/>
    <w:rsid w:val="CD5F5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测试项"/>
    <w:basedOn w:val="1"/>
    <w:qFormat/>
    <w:uiPriority w:val="0"/>
    <w:pPr>
      <w:numPr>
        <w:ilvl w:val="0"/>
        <w:numId w:val="1"/>
      </w:numPr>
      <w:overflowPunct w:val="0"/>
      <w:autoSpaceDE w:val="0"/>
      <w:autoSpaceDN w:val="0"/>
      <w:adjustRightInd w:val="0"/>
      <w:spacing w:line="360" w:lineRule="auto"/>
      <w:textAlignment w:val="baseline"/>
    </w:pPr>
    <w:rPr>
      <w:rFonts w:ascii="Times New Roman" w:hAnsi="Times New Roman" w:cs="Times New Roman"/>
      <w:b/>
      <w:sz w:val="21"/>
      <w:szCs w:val="20"/>
    </w:rPr>
  </w:style>
  <w:style w:type="character" w:customStyle="1" w:styleId="8">
    <w:name w:val="页眉 字符"/>
    <w:basedOn w:val="6"/>
    <w:link w:val="3"/>
    <w:qFormat/>
    <w:uiPriority w:val="99"/>
    <w:rPr>
      <w:rFonts w:ascii="宋体" w:hAnsi="宋体" w:eastAsia="宋体" w:cs="宋体"/>
      <w:kern w:val="0"/>
      <w:sz w:val="18"/>
      <w:szCs w:val="18"/>
    </w:rPr>
  </w:style>
  <w:style w:type="character" w:customStyle="1" w:styleId="9">
    <w:name w:val="页脚 字符"/>
    <w:basedOn w:val="6"/>
    <w:link w:val="2"/>
    <w:qFormat/>
    <w:uiPriority w:val="99"/>
    <w:rPr>
      <w:rFonts w:ascii="宋体" w:hAnsi="宋体" w:eastAsia="宋体" w:cs="宋体"/>
      <w:kern w:val="0"/>
      <w:sz w:val="18"/>
      <w:szCs w:val="18"/>
    </w:rPr>
  </w:style>
  <w:style w:type="character" w:customStyle="1" w:styleId="10">
    <w:name w:val="font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128</Words>
  <Characters>735</Characters>
  <Lines>6</Lines>
  <Paragraphs>1</Paragraphs>
  <TotalTime>4</TotalTime>
  <ScaleCrop>false</ScaleCrop>
  <LinksUpToDate>false</LinksUpToDate>
  <CharactersWithSpaces>862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2024-03-08T22:50:00Z</dcterms:created>
  <dc:creator>Wanying Dong</dc:creator>
  <cp:lastModifiedBy>jingmingxin@mg.cmcc</cp:lastModifiedBy>
  <dcterms:modified xsi:type="dcterms:W3CDTF">2026-06-25T01:43:13Z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6DC9469A5120461F9CEA5A3699FF9DFA</vt:lpwstr>
  </property>
</Properties>
</file>