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BE2FC">
      <w:pPr>
        <w:pStyle w:val="7"/>
        <w:numPr>
          <w:ilvl w:val="0"/>
          <w:numId w:val="0"/>
        </w:numPr>
        <w:spacing w:line="600" w:lineRule="exact"/>
        <w:jc w:val="center"/>
        <w:outlineLvl w:val="0"/>
        <w:rPr>
          <w:rFonts w:ascii="仿宋_GB2312" w:hAnsi="Calibri" w:eastAsia="仿宋_GB2312"/>
          <w:bCs/>
          <w:kern w:val="2"/>
          <w:sz w:val="32"/>
          <w:szCs w:val="32"/>
        </w:rPr>
      </w:pPr>
      <w:bookmarkStart w:id="0" w:name="OLE_LINK8"/>
      <w:bookmarkStart w:id="1" w:name="OLE_LINK7"/>
      <w:r>
        <w:rPr>
          <w:rFonts w:hint="eastAsia" w:ascii="仿宋_GB2312" w:hAnsi="Calibri" w:eastAsia="仿宋_GB2312"/>
          <w:bCs/>
          <w:kern w:val="2"/>
          <w:sz w:val="32"/>
          <w:szCs w:val="32"/>
        </w:rPr>
        <w:t>基本资质要求</w:t>
      </w:r>
    </w:p>
    <w:bookmarkEnd w:id="0"/>
    <w:bookmarkEnd w:id="1"/>
    <w:p w14:paraId="2DDFA721">
      <w:pPr>
        <w:snapToGrid w:val="0"/>
        <w:spacing w:line="600" w:lineRule="exact"/>
        <w:ind w:firstLine="640" w:firstLineChars="200"/>
        <w:rPr>
          <w:rFonts w:ascii="仿宋_GB2312" w:hAnsi="Tw Cen MT" w:eastAsia="仿宋_GB2312" w:cs="仿宋_GB2312"/>
          <w:kern w:val="2"/>
          <w:sz w:val="32"/>
          <w:szCs w:val="32"/>
        </w:rPr>
      </w:pPr>
      <w:r>
        <w:rPr>
          <w:rFonts w:ascii="仿宋_GB2312" w:hAnsi="Tw Cen MT" w:eastAsia="仿宋_GB2312" w:cs="仿宋_GB2312"/>
          <w:kern w:val="2"/>
          <w:sz w:val="32"/>
          <w:szCs w:val="32"/>
        </w:rPr>
        <w:t>1.</w:t>
      </w:r>
      <w:r>
        <w:rPr>
          <w:rFonts w:hint="eastAsia" w:ascii="微软雅黑" w:hAnsi="微软雅黑" w:eastAsia="微软雅黑" w:cstheme="minorBidi"/>
          <w:color w:val="000000" w:themeColor="dark1"/>
          <w:kern w:val="24"/>
          <w:sz w:val="20"/>
          <w:szCs w:val="20"/>
          <w14:textFill>
            <w14:solidFill>
              <w14:schemeClr w14:val="dk1"/>
            </w14:solidFill>
          </w14:textFill>
        </w:rPr>
        <w:t xml:space="preserve"> </w:t>
      </w:r>
      <w:r>
        <w:rPr>
          <w:rFonts w:ascii="仿宋" w:hAnsi="仿宋" w:eastAsia="仿宋"/>
          <w:sz w:val="32"/>
          <w:szCs w:val="32"/>
        </w:rPr>
        <w:t>具备企业法人营业执照、组织机构代码证、税务登记证等相关证照，对已更新资质的企业，可提供三证合一的营业执照。通过相关政府机关的年检年报，完成相关登记备案。国外企业需提供其具备公司主体资格的证明材料，可包括公司注册证书、章程、资信证明、中国驻当地领馆出具的认证等</w:t>
      </w:r>
      <w:r>
        <w:rPr>
          <w:rFonts w:hint="eastAsia" w:ascii="仿宋_GB2312" w:hAnsi="Tw Cen MT" w:eastAsia="仿宋_GB2312" w:cs="仿宋_GB2312"/>
          <w:kern w:val="2"/>
          <w:sz w:val="32"/>
          <w:szCs w:val="32"/>
        </w:rPr>
        <w:t>。</w:t>
      </w:r>
    </w:p>
    <w:p w14:paraId="781B5EB3">
      <w:pPr>
        <w:snapToGrid w:val="0"/>
        <w:spacing w:line="600" w:lineRule="exact"/>
        <w:ind w:firstLine="640" w:firstLineChars="200"/>
        <w:rPr>
          <w:rFonts w:ascii="仿宋_GB2312" w:hAnsi="Tw Cen MT" w:eastAsia="仿宋_GB2312" w:cs="仿宋_GB2312"/>
          <w:kern w:val="2"/>
          <w:sz w:val="32"/>
          <w:szCs w:val="32"/>
        </w:rPr>
      </w:pPr>
      <w:bookmarkStart w:id="2" w:name="OLE_LINK6"/>
      <w:bookmarkStart w:id="3" w:name="OLE_LINK5"/>
      <w:bookmarkStart w:id="4" w:name="OLE_LINK4"/>
      <w:bookmarkStart w:id="5" w:name="OLE_LINK3"/>
      <w:r>
        <w:rPr>
          <w:rFonts w:ascii="仿宋_GB2312" w:hAnsi="Tw Cen MT" w:eastAsia="仿宋_GB2312" w:cs="仿宋_GB2312"/>
          <w:kern w:val="2"/>
          <w:sz w:val="32"/>
          <w:szCs w:val="32"/>
        </w:rPr>
        <w:t>2.</w:t>
      </w:r>
      <w:r>
        <w:rPr>
          <w:rFonts w:hint="eastAsia" w:ascii="仿宋_GB2312" w:hAnsi="Tw Cen MT" w:eastAsia="仿宋_GB2312" w:cs="仿宋_GB2312"/>
          <w:kern w:val="2"/>
          <w:sz w:val="32"/>
          <w:szCs w:val="32"/>
        </w:rPr>
        <w:t>公司</w:t>
      </w:r>
      <w:r>
        <w:rPr>
          <w:rFonts w:ascii="仿宋_GB2312" w:hAnsi="Tw Cen MT" w:eastAsia="仿宋_GB2312" w:cs="仿宋_GB2312"/>
          <w:kern w:val="2"/>
          <w:sz w:val="32"/>
          <w:szCs w:val="32"/>
        </w:rPr>
        <w:t>成立</w:t>
      </w:r>
      <w:r>
        <w:rPr>
          <w:rFonts w:hint="eastAsia" w:ascii="仿宋_GB2312" w:hAnsi="Tw Cen MT" w:eastAsia="仿宋_GB2312" w:cs="仿宋_GB2312"/>
          <w:kern w:val="2"/>
          <w:sz w:val="32"/>
          <w:szCs w:val="32"/>
        </w:rPr>
        <w:t>时间在</w:t>
      </w:r>
      <w:r>
        <w:rPr>
          <w:rFonts w:ascii="仿宋_GB2312" w:hAnsi="Tw Cen MT" w:eastAsia="仿宋_GB2312" w:cs="仿宋_GB2312"/>
          <w:kern w:val="2"/>
          <w:sz w:val="32"/>
          <w:szCs w:val="32"/>
        </w:rPr>
        <w:t>2</w:t>
      </w:r>
      <w:r>
        <w:rPr>
          <w:rFonts w:hint="eastAsia" w:ascii="仿宋_GB2312" w:hAnsi="Tw Cen MT" w:eastAsia="仿宋_GB2312" w:cs="仿宋_GB2312"/>
          <w:kern w:val="2"/>
          <w:sz w:val="32"/>
          <w:szCs w:val="32"/>
        </w:rPr>
        <w:t>年以上，公司注册资本不少于人民币</w:t>
      </w:r>
      <w:r>
        <w:rPr>
          <w:rFonts w:ascii="仿宋_GB2312" w:hAnsi="Tw Cen MT" w:eastAsia="仿宋_GB2312" w:cs="仿宋_GB2312"/>
          <w:kern w:val="2"/>
          <w:sz w:val="32"/>
          <w:szCs w:val="32"/>
        </w:rPr>
        <w:t>50万</w:t>
      </w:r>
      <w:r>
        <w:rPr>
          <w:rFonts w:hint="eastAsia" w:ascii="仿宋_GB2312" w:hAnsi="Tw Cen MT" w:eastAsia="仿宋_GB2312" w:cs="仿宋_GB2312"/>
          <w:kern w:val="2"/>
          <w:sz w:val="32"/>
          <w:szCs w:val="32"/>
        </w:rPr>
        <w:t>元。</w:t>
      </w:r>
    </w:p>
    <w:p w14:paraId="42ADC4BE">
      <w:pPr>
        <w:snapToGrid w:val="0"/>
        <w:spacing w:line="600" w:lineRule="exact"/>
        <w:ind w:firstLine="640" w:firstLineChars="200"/>
        <w:rPr>
          <w:rFonts w:hint="eastAsia" w:ascii="仿宋_GB2312" w:hAnsi="Tw Cen MT" w:eastAsia="仿宋_GB2312" w:cs="仿宋_GB2312"/>
          <w:kern w:val="2"/>
          <w:sz w:val="32"/>
          <w:szCs w:val="32"/>
        </w:rPr>
      </w:pPr>
      <w:r>
        <w:rPr>
          <w:rFonts w:ascii="仿宋_GB2312" w:hAnsi="Tw Cen MT" w:eastAsia="仿宋_GB2312" w:cs="仿宋_GB2312"/>
          <w:kern w:val="2"/>
          <w:sz w:val="32"/>
          <w:szCs w:val="32"/>
        </w:rPr>
        <w:t>3.</w:t>
      </w:r>
      <w:r>
        <w:rPr>
          <w:rFonts w:hint="eastAsia" w:ascii="仿宋_GB2312" w:hAnsi="Tw Cen MT" w:eastAsia="仿宋_GB2312" w:cs="仿宋_GB2312"/>
          <w:kern w:val="2"/>
          <w:sz w:val="32"/>
          <w:szCs w:val="32"/>
          <w:lang w:val="en-US" w:eastAsia="zh-CN"/>
        </w:rPr>
        <w:t>近三年</w:t>
      </w:r>
      <w:r>
        <w:rPr>
          <w:rFonts w:hint="eastAsia" w:ascii="仿宋_GB2312" w:hAnsi="Tw Cen MT" w:eastAsia="仿宋_GB2312" w:cs="仿宋_GB2312"/>
          <w:kern w:val="2"/>
          <w:sz w:val="32"/>
          <w:szCs w:val="32"/>
        </w:rPr>
        <w:t>未</w:t>
      </w:r>
      <w:bookmarkStart w:id="6" w:name="_Hlk143763700"/>
      <w:r>
        <w:rPr>
          <w:rFonts w:hint="eastAsia" w:ascii="仿宋_GB2312" w:hAnsi="Tw Cen MT" w:eastAsia="仿宋_GB2312" w:cs="仿宋_GB2312"/>
          <w:kern w:val="2"/>
          <w:sz w:val="32"/>
          <w:szCs w:val="32"/>
        </w:rPr>
        <w:t>被纳</w:t>
      </w:r>
      <w:bookmarkEnd w:id="6"/>
      <w:r>
        <w:rPr>
          <w:rFonts w:hint="eastAsia" w:ascii="仿宋_GB2312" w:hAnsi="Tw Cen MT" w:eastAsia="仿宋_GB2312" w:cs="仿宋_GB2312"/>
          <w:kern w:val="2"/>
          <w:sz w:val="32"/>
          <w:szCs w:val="32"/>
        </w:rPr>
        <w:t>入</w:t>
      </w:r>
      <w:r>
        <w:rPr>
          <w:rFonts w:ascii="仿宋_GB2312" w:hAnsi="Tw Cen MT" w:eastAsia="仿宋_GB2312" w:cs="仿宋_GB2312"/>
          <w:kern w:val="2"/>
          <w:sz w:val="32"/>
          <w:szCs w:val="32"/>
        </w:rPr>
        <w:t>国家企业信用信息公示系统的</w:t>
      </w:r>
      <w:r>
        <w:rPr>
          <w:rFonts w:hint="eastAsia" w:ascii="仿宋_GB2312" w:hAnsi="Tw Cen MT" w:eastAsia="仿宋_GB2312" w:cs="仿宋_GB2312"/>
          <w:kern w:val="2"/>
          <w:sz w:val="32"/>
          <w:szCs w:val="32"/>
        </w:rPr>
        <w:t>严重违法失信企业名单。</w:t>
      </w:r>
    </w:p>
    <w:p w14:paraId="4D0CDE54">
      <w:pPr>
        <w:snapToGrid w:val="0"/>
        <w:spacing w:line="600" w:lineRule="exact"/>
        <w:ind w:firstLine="640" w:firstLineChars="200"/>
        <w:rPr>
          <w:rFonts w:ascii="仿宋_GB2312" w:hAnsi="Tw Cen MT" w:eastAsia="仿宋_GB2312" w:cs="仿宋_GB2312"/>
          <w:kern w:val="2"/>
          <w:sz w:val="32"/>
          <w:szCs w:val="32"/>
        </w:rPr>
      </w:pPr>
      <w:r>
        <w:rPr>
          <w:rFonts w:hint="eastAsia" w:ascii="仿宋_GB2312" w:hAnsi="Tw Cen MT" w:eastAsia="仿宋_GB2312" w:cs="仿宋_GB2312"/>
          <w:kern w:val="2"/>
          <w:sz w:val="32"/>
          <w:szCs w:val="32"/>
          <w:lang w:val="en-US" w:eastAsia="zh-CN"/>
        </w:rPr>
        <w:t>4.</w:t>
      </w:r>
      <w:r>
        <w:rPr>
          <w:rFonts w:hint="eastAsia" w:ascii="仿宋_GB2312" w:hAnsi="Tw Cen MT" w:eastAsia="仿宋_GB2312" w:cs="仿宋_GB2312"/>
          <w:kern w:val="2"/>
          <w:sz w:val="32"/>
          <w:szCs w:val="32"/>
        </w:rPr>
        <w:t>未被纳入</w:t>
      </w:r>
      <w:r>
        <w:rPr>
          <w:rFonts w:ascii="仿宋_GB2312" w:hAnsi="Tw Cen MT" w:eastAsia="仿宋_GB2312" w:cs="仿宋_GB2312"/>
          <w:kern w:val="2"/>
          <w:sz w:val="32"/>
          <w:szCs w:val="32"/>
        </w:rPr>
        <w:t>国家企业信用信息公示系统的经营异常名录</w:t>
      </w:r>
      <w:r>
        <w:rPr>
          <w:rFonts w:hint="eastAsia" w:ascii="仿宋_GB2312" w:hAnsi="Tw Cen MT" w:eastAsia="仿宋_GB2312" w:cs="仿宋_GB2312"/>
          <w:kern w:val="2"/>
          <w:sz w:val="32"/>
          <w:szCs w:val="32"/>
        </w:rPr>
        <w:t>。</w:t>
      </w:r>
    </w:p>
    <w:p w14:paraId="01BA2C8A">
      <w:pPr>
        <w:snapToGrid w:val="0"/>
        <w:spacing w:line="600" w:lineRule="exact"/>
        <w:ind w:firstLine="640" w:firstLineChars="200"/>
        <w:rPr>
          <w:rFonts w:ascii="仿宋" w:hAnsi="仿宋" w:eastAsia="仿宋" w:cs="Arial"/>
          <w:sz w:val="32"/>
          <w:szCs w:val="32"/>
        </w:rPr>
      </w:pPr>
      <w:r>
        <w:rPr>
          <w:rFonts w:hint="eastAsia" w:ascii="仿宋_GB2312" w:hAnsi="Tw Cen MT" w:eastAsia="仿宋_GB2312" w:cs="仿宋_GB2312"/>
          <w:kern w:val="2"/>
          <w:sz w:val="32"/>
          <w:szCs w:val="32"/>
          <w:lang w:val="en-US" w:eastAsia="zh-CN"/>
        </w:rPr>
        <w:t>5</w:t>
      </w:r>
      <w:r>
        <w:rPr>
          <w:rFonts w:ascii="仿宋_GB2312" w:hAnsi="Tw Cen MT" w:eastAsia="仿宋_GB2312" w:cs="仿宋_GB2312"/>
          <w:kern w:val="2"/>
          <w:sz w:val="32"/>
          <w:szCs w:val="32"/>
        </w:rPr>
        <w:t>.</w:t>
      </w:r>
      <w:r>
        <w:rPr>
          <w:rFonts w:hint="eastAsia" w:ascii="仿宋_GB2312" w:hAnsi="Tw Cen MT" w:eastAsia="仿宋_GB2312" w:cs="仿宋_GB2312"/>
          <w:kern w:val="2"/>
          <w:sz w:val="32"/>
          <w:szCs w:val="32"/>
        </w:rPr>
        <w:t>未列入咪咕公司不良信用名单</w:t>
      </w:r>
      <w:r>
        <w:rPr>
          <w:rFonts w:hint="eastAsia" w:ascii="仿宋_GB2312" w:hAnsi="Tw Cen MT" w:eastAsia="仿宋_GB2312" w:cs="仿宋_GB2312"/>
          <w:kern w:val="2"/>
          <w:sz w:val="32"/>
          <w:szCs w:val="32"/>
          <w:lang w:eastAsia="zh-CN"/>
        </w:rPr>
        <w:t>，</w:t>
      </w:r>
      <w:r>
        <w:rPr>
          <w:rFonts w:hint="eastAsia" w:ascii="仿宋_GB2312" w:hAnsi="Tw Cen MT" w:eastAsia="仿宋_GB2312" w:cs="仿宋_GB2312"/>
          <w:kern w:val="2"/>
          <w:sz w:val="32"/>
          <w:szCs w:val="32"/>
          <w:lang w:val="en-US" w:eastAsia="zh-CN"/>
        </w:rPr>
        <w:t>并符合公司“关注名单库”相关管理要求。</w:t>
      </w:r>
      <w:bookmarkEnd w:id="2"/>
      <w:bookmarkEnd w:id="3"/>
      <w:bookmarkEnd w:id="4"/>
      <w:bookmarkEnd w:id="5"/>
      <w:bookmarkStart w:id="8" w:name="_GoBack"/>
      <w:bookmarkEnd w:id="8"/>
      <w:r>
        <w:rPr>
          <w:rFonts w:hint="eastAsia" w:ascii="仿宋" w:hAnsi="仿宋" w:eastAsia="仿宋"/>
          <w:sz w:val="32"/>
          <w:szCs w:val="32"/>
        </w:rPr>
        <w:t>6个月内无本合作引入</w:t>
      </w:r>
      <w:r>
        <w:rPr>
          <w:rFonts w:hint="eastAsia" w:ascii="仿宋" w:hAnsi="仿宋" w:eastAsia="仿宋" w:cs="Arial"/>
          <w:sz w:val="32"/>
          <w:szCs w:val="32"/>
        </w:rPr>
        <w:t>测试不通过的记录。</w:t>
      </w:r>
    </w:p>
    <w:p w14:paraId="0FF40607">
      <w:pPr>
        <w:snapToGrid w:val="0"/>
        <w:spacing w:line="600" w:lineRule="exact"/>
        <w:ind w:firstLine="640" w:firstLineChars="200"/>
        <w:rPr>
          <w:rFonts w:ascii="仿宋" w:hAnsi="仿宋" w:eastAsia="仿宋" w:cs="Arial"/>
          <w:sz w:val="32"/>
          <w:szCs w:val="32"/>
        </w:rPr>
      </w:pPr>
    </w:p>
    <w:p w14:paraId="2B873973">
      <w:pPr>
        <w:pStyle w:val="7"/>
        <w:numPr>
          <w:ilvl w:val="0"/>
          <w:numId w:val="0"/>
        </w:numPr>
        <w:spacing w:line="600" w:lineRule="exact"/>
        <w:jc w:val="center"/>
        <w:outlineLvl w:val="0"/>
        <w:rPr>
          <w:rFonts w:ascii="仿宋_GB2312" w:hAnsi="Calibri" w:eastAsia="仿宋_GB2312"/>
          <w:bCs/>
          <w:kern w:val="2"/>
          <w:sz w:val="32"/>
          <w:szCs w:val="32"/>
        </w:rPr>
      </w:pPr>
      <w:r>
        <w:rPr>
          <w:rFonts w:hint="eastAsia" w:ascii="仿宋_GB2312" w:hAnsi="Calibri" w:eastAsia="仿宋_GB2312"/>
          <w:bCs/>
          <w:kern w:val="2"/>
          <w:sz w:val="32"/>
          <w:szCs w:val="32"/>
        </w:rPr>
        <w:t>专业能力要求</w:t>
      </w:r>
    </w:p>
    <w:p w14:paraId="4699EBF9">
      <w:pPr>
        <w:rPr>
          <w:rFonts w:ascii="仿宋" w:hAnsi="仿宋" w:eastAsia="仿宋"/>
          <w:sz w:val="32"/>
          <w:szCs w:val="32"/>
        </w:rPr>
      </w:pPr>
      <w:r>
        <w:rPr>
          <w:rFonts w:hint="eastAsia" w:ascii="仿宋" w:hAnsi="仿宋" w:eastAsia="仿宋"/>
          <w:sz w:val="32"/>
          <w:szCs w:val="32"/>
        </w:rPr>
        <w:t>满足以下任意一项</w:t>
      </w:r>
    </w:p>
    <w:tbl>
      <w:tblPr>
        <w:tblStyle w:val="5"/>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938"/>
      </w:tblGrid>
      <w:tr w14:paraId="3C7DD701">
        <w:trPr>
          <w:jc w:val="center"/>
        </w:trPr>
        <w:tc>
          <w:tcPr>
            <w:tcW w:w="988" w:type="dxa"/>
          </w:tcPr>
          <w:p w14:paraId="7DB3A84C">
            <w:pPr>
              <w:spacing w:line="600" w:lineRule="exact"/>
              <w:jc w:val="center"/>
              <w:rPr>
                <w:rFonts w:ascii="仿宋_GB2312" w:hAnsi="Calibri" w:eastAsia="仿宋_GB2312"/>
                <w:sz w:val="28"/>
                <w:szCs w:val="28"/>
              </w:rPr>
            </w:pPr>
            <w:r>
              <w:rPr>
                <w:rFonts w:hint="eastAsia" w:ascii="仿宋_GB2312" w:hAnsi="Calibri" w:eastAsia="仿宋_GB2312"/>
                <w:sz w:val="28"/>
                <w:szCs w:val="28"/>
              </w:rPr>
              <w:t>类型</w:t>
            </w:r>
          </w:p>
        </w:tc>
        <w:tc>
          <w:tcPr>
            <w:tcW w:w="7938" w:type="dxa"/>
          </w:tcPr>
          <w:p w14:paraId="704C5C4D">
            <w:pPr>
              <w:spacing w:line="600" w:lineRule="exact"/>
              <w:jc w:val="center"/>
              <w:rPr>
                <w:rFonts w:ascii="仿宋_GB2312" w:hAnsi="Calibri" w:eastAsia="仿宋_GB2312"/>
                <w:sz w:val="28"/>
                <w:szCs w:val="28"/>
              </w:rPr>
            </w:pPr>
            <w:r>
              <w:rPr>
                <w:rFonts w:hint="eastAsia" w:ascii="仿宋_GB2312" w:hAnsi="Calibri" w:eastAsia="仿宋_GB2312"/>
                <w:sz w:val="28"/>
                <w:szCs w:val="28"/>
              </w:rPr>
              <w:t>要求</w:t>
            </w:r>
          </w:p>
        </w:tc>
      </w:tr>
      <w:tr w14:paraId="02514806">
        <w:trPr>
          <w:jc w:val="center"/>
        </w:trPr>
        <w:tc>
          <w:tcPr>
            <w:tcW w:w="988" w:type="dxa"/>
          </w:tcPr>
          <w:p w14:paraId="42AE23E5">
            <w:pPr>
              <w:spacing w:line="600" w:lineRule="exact"/>
              <w:jc w:val="center"/>
              <w:rPr>
                <w:rFonts w:ascii="仿宋_GB2312" w:hAnsi="Calibri" w:eastAsia="仿宋_GB2312"/>
                <w:sz w:val="28"/>
                <w:szCs w:val="28"/>
              </w:rPr>
            </w:pPr>
            <w:r>
              <w:rPr>
                <w:rFonts w:hint="eastAsia" w:ascii="仿宋_GB2312" w:hAnsi="Calibri" w:eastAsia="仿宋_GB2312"/>
                <w:sz w:val="28"/>
                <w:szCs w:val="28"/>
              </w:rPr>
              <w:t>A类</w:t>
            </w:r>
          </w:p>
        </w:tc>
        <w:tc>
          <w:tcPr>
            <w:tcW w:w="7938" w:type="dxa"/>
          </w:tcPr>
          <w:p w14:paraId="2DA3DC90">
            <w:pPr>
              <w:spacing w:line="360" w:lineRule="auto"/>
              <w:rPr>
                <w:rFonts w:ascii="仿宋_GB2312" w:hAnsi="Calibri" w:eastAsia="仿宋_GB2312"/>
                <w:sz w:val="28"/>
                <w:szCs w:val="28"/>
              </w:rPr>
            </w:pPr>
            <w:r>
              <w:rPr>
                <w:rFonts w:hint="eastAsia" w:ascii="仿宋_GB2312" w:hAnsi="Calibri" w:eastAsia="仿宋_GB2312"/>
                <w:sz w:val="28"/>
                <w:szCs w:val="28"/>
              </w:rPr>
              <w:t>申报方在2年内有推广电信运营商（移动、电信、联通各省公司、地市级公司、专业公司等）政企类业务的合作（咪咕音乐企业视频彩铃合作除外），总结算金额不低于50万元（以运营商盖章结算报表或结算发票为准</w:t>
            </w:r>
            <w:bookmarkStart w:id="7" w:name="_Hlk157354008"/>
            <w:r>
              <w:rPr>
                <w:rFonts w:hint="eastAsia" w:ascii="仿宋_GB2312" w:hAnsi="Calibri" w:eastAsia="仿宋_GB2312"/>
                <w:sz w:val="28"/>
                <w:szCs w:val="28"/>
              </w:rPr>
              <w:t>，并附合同关键页</w:t>
            </w:r>
            <w:bookmarkEnd w:id="7"/>
            <w:r>
              <w:rPr>
                <w:rFonts w:hint="eastAsia" w:ascii="仿宋_GB2312" w:hAnsi="Calibri" w:eastAsia="仿宋_GB2312"/>
                <w:sz w:val="28"/>
                <w:szCs w:val="28"/>
              </w:rPr>
              <w:t>）。</w:t>
            </w:r>
          </w:p>
        </w:tc>
      </w:tr>
      <w:tr w14:paraId="2A7B57D4">
        <w:trPr>
          <w:jc w:val="center"/>
        </w:trPr>
        <w:tc>
          <w:tcPr>
            <w:tcW w:w="988" w:type="dxa"/>
          </w:tcPr>
          <w:p w14:paraId="7E8CA7F5">
            <w:pPr>
              <w:spacing w:line="600" w:lineRule="exact"/>
              <w:jc w:val="center"/>
              <w:rPr>
                <w:rFonts w:ascii="仿宋_GB2312" w:hAnsi="Calibri" w:eastAsia="仿宋_GB2312"/>
                <w:sz w:val="28"/>
                <w:szCs w:val="28"/>
              </w:rPr>
            </w:pPr>
            <w:r>
              <w:rPr>
                <w:rFonts w:hint="eastAsia" w:ascii="仿宋_GB2312" w:hAnsi="Calibri" w:eastAsia="仿宋_GB2312"/>
                <w:sz w:val="28"/>
                <w:szCs w:val="28"/>
              </w:rPr>
              <w:t>D类</w:t>
            </w:r>
          </w:p>
        </w:tc>
        <w:tc>
          <w:tcPr>
            <w:tcW w:w="7938" w:type="dxa"/>
          </w:tcPr>
          <w:p w14:paraId="75146533">
            <w:pPr>
              <w:spacing w:line="360" w:lineRule="auto"/>
              <w:rPr>
                <w:rFonts w:ascii="仿宋_GB2312" w:hAnsi="Calibri" w:eastAsia="仿宋_GB2312"/>
                <w:sz w:val="28"/>
                <w:szCs w:val="28"/>
              </w:rPr>
            </w:pPr>
            <w:r>
              <w:rPr>
                <w:rFonts w:hint="eastAsia" w:ascii="仿宋_GB2312" w:hAnsi="Calibri" w:eastAsia="仿宋_GB2312"/>
                <w:sz w:val="28"/>
                <w:szCs w:val="28"/>
              </w:rPr>
              <w:t>申报方有餐饮、旅游、酒店等</w:t>
            </w:r>
            <w:r>
              <w:rPr>
                <w:rFonts w:hint="eastAsia" w:ascii="仿宋_GB2312" w:hAnsi="Calibri" w:eastAsia="仿宋_GB2312"/>
                <w:sz w:val="28"/>
                <w:szCs w:val="28"/>
                <w:lang w:val="en-US" w:eastAsia="zh-CN"/>
              </w:rPr>
              <w:t>生活服务</w:t>
            </w:r>
            <w:r>
              <w:rPr>
                <w:rFonts w:hint="eastAsia" w:ascii="仿宋_GB2312" w:hAnsi="Calibri" w:eastAsia="仿宋_GB2312"/>
                <w:sz w:val="28"/>
                <w:szCs w:val="28"/>
              </w:rPr>
              <w:t>类行业协会推广资源，行业协会为处于组织状态正常和信用状态正常的地级市同级及以上级别协会（以全国社会组织信用信息公示平台数据为准）。申报方需提供行业协会盖章推荐函（独家）及行业协会登记证书信息。</w:t>
            </w:r>
          </w:p>
        </w:tc>
      </w:tr>
      <w:tr w14:paraId="3D502FD2">
        <w:trPr>
          <w:jc w:val="center"/>
        </w:trPr>
        <w:tc>
          <w:tcPr>
            <w:tcW w:w="988" w:type="dxa"/>
          </w:tcPr>
          <w:p w14:paraId="58E5350F">
            <w:pPr>
              <w:spacing w:line="600" w:lineRule="exact"/>
              <w:jc w:val="center"/>
              <w:rPr>
                <w:rFonts w:ascii="仿宋_GB2312" w:hAnsi="Calibri" w:eastAsia="仿宋_GB2312"/>
                <w:sz w:val="28"/>
                <w:szCs w:val="28"/>
              </w:rPr>
            </w:pPr>
            <w:r>
              <w:rPr>
                <w:rFonts w:hint="eastAsia" w:ascii="仿宋_GB2312" w:hAnsi="Calibri" w:eastAsia="仿宋_GB2312"/>
                <w:sz w:val="28"/>
                <w:szCs w:val="28"/>
              </w:rPr>
              <w:t>E类</w:t>
            </w:r>
          </w:p>
        </w:tc>
        <w:tc>
          <w:tcPr>
            <w:tcW w:w="7938" w:type="dxa"/>
          </w:tcPr>
          <w:p w14:paraId="6C316081">
            <w:pPr>
              <w:spacing w:line="360" w:lineRule="auto"/>
              <w:rPr>
                <w:rFonts w:ascii="仿宋_GB2312" w:hAnsi="Calibri" w:eastAsia="仿宋_GB2312"/>
                <w:sz w:val="28"/>
                <w:szCs w:val="28"/>
              </w:rPr>
            </w:pPr>
            <w:r>
              <w:rPr>
                <w:rFonts w:ascii="仿宋_GB2312" w:hAnsi="Calibri" w:eastAsia="仿宋_GB2312"/>
                <w:sz w:val="28"/>
                <w:szCs w:val="28"/>
              </w:rPr>
              <w:t>申报方有快递或保险中介推广资源，需要提供快递经营许可证（以国家邮政局政务服务门户数据为准）或保险中介许可证（以国家金融监督管理总局平台数据为准）。</w:t>
            </w:r>
          </w:p>
        </w:tc>
      </w:tr>
    </w:tbl>
    <w:p w14:paraId="726BC591">
      <w:pPr>
        <w:snapToGrid w:val="0"/>
        <w:spacing w:line="600" w:lineRule="exact"/>
        <w:ind w:firstLine="640" w:firstLineChars="200"/>
        <w:rPr>
          <w:rFonts w:ascii="仿宋" w:hAnsi="仿宋" w:eastAsia="仿宋"/>
          <w:sz w:val="32"/>
          <w:szCs w:val="32"/>
        </w:rPr>
      </w:pPr>
    </w:p>
    <w:p w14:paraId="0D9B13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Tw Cen MT">
    <w:altName w:val="苹方-简"/>
    <w:panose1 w:val="020B0602020104020603"/>
    <w:charset w:val="00"/>
    <w:family w:val="swiss"/>
    <w:pitch w:val="default"/>
    <w:sig w:usb0="00000000" w:usb1="00000000" w:usb2="00000000" w:usb3="00000000" w:csb0="00000003" w:csb1="00000000"/>
  </w:font>
  <w:font w:name="苹方-简">
    <w:panose1 w:val="020B0400000000000000"/>
    <w:charset w:val="86"/>
    <w:family w:val="auto"/>
    <w:pitch w:val="default"/>
    <w:sig w:usb0="A00002FF" w:usb1="7ACFFDFB" w:usb2="00000017"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仿宋">
    <w:panose1 w:val="02010609060101010101"/>
    <w:charset w:val="86"/>
    <w:family w:val="modern"/>
    <w:pitch w:val="default"/>
    <w:sig w:usb0="800002BF" w:usb1="38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 w:name="等线 Light">
    <w:altName w:val="汉仪中等线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E745C"/>
    <w:multiLevelType w:val="multilevel"/>
    <w:tmpl w:val="0AAE745C"/>
    <w:lvl w:ilvl="0" w:tentative="0">
      <w:start w:val="1"/>
      <w:numFmt w:val="japaneseCounting"/>
      <w:pStyle w:val="7"/>
      <w:lvlText w:val="第%1条"/>
      <w:lvlJc w:val="left"/>
      <w:pPr>
        <w:tabs>
          <w:tab w:val="left" w:pos="709"/>
        </w:tabs>
        <w:ind w:left="0" w:firstLine="420"/>
      </w:pPr>
      <w:rPr>
        <w:rFonts w:hint="eastAsia" w:ascii="楷体" w:hAnsi="楷体" w:eastAsia="楷体" w:cstheme="majorEastAsia"/>
        <w:b/>
        <w:sz w:val="32"/>
        <w:szCs w:val="32"/>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49"/>
    <w:rsid w:val="00027373"/>
    <w:rsid w:val="000640CD"/>
    <w:rsid w:val="001248AF"/>
    <w:rsid w:val="00222794"/>
    <w:rsid w:val="00320818"/>
    <w:rsid w:val="004E1449"/>
    <w:rsid w:val="0052366B"/>
    <w:rsid w:val="005952CC"/>
    <w:rsid w:val="00605689"/>
    <w:rsid w:val="007B1904"/>
    <w:rsid w:val="00C61FAC"/>
    <w:rsid w:val="00FA68D8"/>
    <w:rsid w:val="59AE4BEA"/>
    <w:rsid w:val="79DFBA2F"/>
    <w:rsid w:val="CD5F5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测试项"/>
    <w:basedOn w:val="1"/>
    <w:qFormat/>
    <w:uiPriority w:val="0"/>
    <w:pPr>
      <w:numPr>
        <w:ilvl w:val="0"/>
        <w:numId w:val="1"/>
      </w:numPr>
      <w:overflowPunct w:val="0"/>
      <w:autoSpaceDE w:val="0"/>
      <w:autoSpaceDN w:val="0"/>
      <w:adjustRightInd w:val="0"/>
      <w:spacing w:line="360" w:lineRule="auto"/>
      <w:textAlignment w:val="baseline"/>
    </w:pPr>
    <w:rPr>
      <w:rFonts w:ascii="Times New Roman" w:hAnsi="Times New Roman" w:cs="Times New Roman"/>
      <w:b/>
      <w:sz w:val="21"/>
      <w:szCs w:val="20"/>
    </w:rPr>
  </w:style>
  <w:style w:type="character" w:customStyle="1" w:styleId="8">
    <w:name w:val="页眉 字符"/>
    <w:basedOn w:val="6"/>
    <w:link w:val="3"/>
    <w:uiPriority w:val="99"/>
    <w:rPr>
      <w:rFonts w:ascii="宋体" w:hAnsi="宋体" w:eastAsia="宋体" w:cs="宋体"/>
      <w:kern w:val="0"/>
      <w:sz w:val="18"/>
      <w:szCs w:val="18"/>
    </w:rPr>
  </w:style>
  <w:style w:type="character" w:customStyle="1" w:styleId="9">
    <w:name w:val="页脚 字符"/>
    <w:basedOn w:val="6"/>
    <w:link w:val="2"/>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128</Words>
  <Characters>735</Characters>
  <Lines>6</Lines>
  <Paragraphs>1</Paragraphs>
  <TotalTime>13</TotalTime>
  <ScaleCrop>false</ScaleCrop>
  <LinksUpToDate>false</LinksUpToDate>
  <CharactersWithSpaces>862</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2024-03-08T22:50:00Z</dcterms:created>
  <dc:creator>Wanying Dong</dc:creator>
  <cp:lastModifiedBy>罗宁</cp:lastModifiedBy>
  <dcterms:modified xsi:type="dcterms:W3CDTF">2026-04-15T14:35:35Z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B59BE17DC4F0F384B731DF690D6475BD_43</vt:lpwstr>
  </property>
</Properties>
</file>