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B8F8">
      <w:pPr>
        <w:spacing w:line="360" w:lineRule="auto"/>
        <w:jc w:val="center"/>
        <w:outlineLvl w:val="0"/>
        <w:rPr>
          <w:rFonts w:ascii="仿宋" w:hAnsi="仿宋" w:eastAsia="仿宋"/>
          <w:b/>
          <w:sz w:val="44"/>
          <w:szCs w:val="44"/>
        </w:rPr>
      </w:pPr>
      <w:r>
        <w:rPr>
          <w:rFonts w:hint="eastAsia" w:ascii="仿宋" w:hAnsi="仿宋" w:eastAsia="仿宋" w:cs="Times New Roman"/>
          <w:b/>
          <w:kern w:val="2"/>
          <w:sz w:val="44"/>
          <w:szCs w:val="44"/>
          <w:lang w:val="en-US" w:eastAsia="zh-CN" w:bidi="ar"/>
        </w:rPr>
        <w:t>咪咕音乐2025–2026年省侧新媒体运营定制化服务支撑项目</w:t>
      </w:r>
    </w:p>
    <w:p w14:paraId="6BB16729">
      <w:pPr>
        <w:spacing w:line="360" w:lineRule="auto"/>
        <w:jc w:val="center"/>
        <w:outlineLvl w:val="0"/>
        <w:rPr>
          <w:rFonts w:ascii="仿宋" w:hAnsi="仿宋" w:eastAsia="仿宋"/>
          <w:b/>
          <w:sz w:val="44"/>
          <w:szCs w:val="44"/>
        </w:rPr>
      </w:pPr>
      <w:bookmarkStart w:id="9" w:name="_GoBack"/>
      <w:r>
        <w:rPr>
          <w:rFonts w:hint="eastAsia" w:ascii="仿宋" w:hAnsi="仿宋" w:eastAsia="仿宋"/>
          <w:b/>
          <w:sz w:val="44"/>
          <w:szCs w:val="44"/>
        </w:rPr>
        <w:t>技术规范书</w:t>
      </w:r>
    </w:p>
    <w:bookmarkEnd w:id="9"/>
    <w:p w14:paraId="0537C102">
      <w:pPr>
        <w:spacing w:line="360" w:lineRule="auto"/>
        <w:jc w:val="center"/>
        <w:rPr>
          <w:rFonts w:ascii="仿宋" w:hAnsi="仿宋" w:eastAsia="仿宋"/>
          <w:b/>
          <w:sz w:val="44"/>
          <w:szCs w:val="44"/>
        </w:rPr>
      </w:pPr>
    </w:p>
    <w:p w14:paraId="74456CE7">
      <w:pPr>
        <w:spacing w:line="360" w:lineRule="auto"/>
        <w:jc w:val="center"/>
        <w:rPr>
          <w:rFonts w:ascii="仿宋" w:hAnsi="仿宋" w:eastAsia="仿宋"/>
          <w:b/>
          <w:sz w:val="44"/>
          <w:szCs w:val="44"/>
        </w:rPr>
      </w:pPr>
    </w:p>
    <w:p w14:paraId="14C99983">
      <w:pPr>
        <w:spacing w:line="360" w:lineRule="auto"/>
        <w:jc w:val="center"/>
        <w:rPr>
          <w:rFonts w:ascii="仿宋" w:hAnsi="仿宋" w:eastAsia="仿宋"/>
          <w:b/>
          <w:sz w:val="44"/>
          <w:szCs w:val="44"/>
        </w:rPr>
      </w:pPr>
    </w:p>
    <w:p w14:paraId="44D54B18">
      <w:pPr>
        <w:spacing w:line="360" w:lineRule="auto"/>
        <w:jc w:val="center"/>
        <w:rPr>
          <w:rFonts w:ascii="仿宋" w:hAnsi="仿宋" w:eastAsia="仿宋"/>
          <w:b/>
          <w:sz w:val="44"/>
          <w:szCs w:val="44"/>
        </w:rPr>
      </w:pPr>
    </w:p>
    <w:p w14:paraId="56BCC495">
      <w:pPr>
        <w:widowControl/>
        <w:spacing w:beforeAutospacing="1" w:afterAutospacing="1"/>
        <w:jc w:val="center"/>
        <w:outlineLvl w:val="0"/>
        <w:rPr>
          <w:rFonts w:hint="eastAsia" w:asciiTheme="minorEastAsia" w:hAnsiTheme="minorEastAsia"/>
          <w:b/>
          <w:color w:val="000000"/>
          <w:sz w:val="32"/>
          <w:szCs w:val="44"/>
          <w:lang w:val="en-US" w:eastAsia="zh-CN"/>
        </w:rPr>
      </w:pPr>
    </w:p>
    <w:p w14:paraId="1A682EE0">
      <w:pPr>
        <w:widowControl/>
        <w:spacing w:beforeAutospacing="1" w:afterAutospacing="1"/>
        <w:jc w:val="center"/>
        <w:outlineLvl w:val="0"/>
        <w:rPr>
          <w:rFonts w:hint="eastAsia" w:asciiTheme="minorEastAsia" w:hAnsiTheme="minorEastAsia"/>
          <w:b/>
          <w:color w:val="000000"/>
          <w:sz w:val="32"/>
          <w:szCs w:val="44"/>
          <w:lang w:val="en-US" w:eastAsia="zh-CN"/>
        </w:rPr>
      </w:pPr>
    </w:p>
    <w:p w14:paraId="7199CCE1">
      <w:pPr>
        <w:widowControl/>
        <w:spacing w:beforeAutospacing="1" w:afterAutospacing="1"/>
        <w:jc w:val="center"/>
        <w:outlineLvl w:val="0"/>
        <w:rPr>
          <w:rFonts w:hint="eastAsia" w:asciiTheme="minorEastAsia" w:hAnsiTheme="minorEastAsia"/>
          <w:b/>
          <w:color w:val="000000"/>
          <w:sz w:val="32"/>
          <w:szCs w:val="44"/>
          <w:lang w:val="en-US" w:eastAsia="zh-CN"/>
        </w:rPr>
      </w:pPr>
    </w:p>
    <w:p w14:paraId="4D53F778">
      <w:pPr>
        <w:widowControl/>
        <w:spacing w:beforeAutospacing="1" w:afterAutospacing="1"/>
        <w:jc w:val="center"/>
        <w:outlineLvl w:val="0"/>
        <w:rPr>
          <w:rFonts w:hint="eastAsia" w:asciiTheme="minorEastAsia" w:hAnsiTheme="minorEastAsia"/>
          <w:b/>
          <w:color w:val="000000"/>
          <w:sz w:val="32"/>
          <w:szCs w:val="44"/>
          <w:lang w:val="en-US" w:eastAsia="zh-CN"/>
        </w:rPr>
      </w:pPr>
    </w:p>
    <w:p w14:paraId="3EB7AE6B">
      <w:pPr>
        <w:widowControl/>
        <w:spacing w:beforeAutospacing="1" w:afterAutospacing="1"/>
        <w:jc w:val="center"/>
        <w:outlineLvl w:val="0"/>
        <w:rPr>
          <w:rFonts w:hint="eastAsia" w:asciiTheme="minorEastAsia" w:hAnsiTheme="minorEastAsia"/>
          <w:b/>
          <w:color w:val="000000"/>
          <w:sz w:val="32"/>
          <w:szCs w:val="44"/>
          <w:lang w:val="en-US" w:eastAsia="zh-CN"/>
        </w:rPr>
      </w:pPr>
    </w:p>
    <w:p w14:paraId="651224C1">
      <w:pPr>
        <w:widowControl/>
        <w:spacing w:beforeAutospacing="1" w:afterAutospacing="1"/>
        <w:jc w:val="center"/>
        <w:outlineLvl w:val="0"/>
        <w:rPr>
          <w:rFonts w:ascii="仿宋" w:hAnsi="仿宋" w:eastAsia="仿宋"/>
          <w:b/>
          <w:sz w:val="44"/>
          <w:szCs w:val="44"/>
        </w:rPr>
      </w:pPr>
      <w:r>
        <w:rPr>
          <w:rFonts w:hint="eastAsia" w:asciiTheme="minorEastAsia" w:hAnsiTheme="minorEastAsia"/>
          <w:b/>
          <w:color w:val="000000"/>
          <w:sz w:val="32"/>
          <w:szCs w:val="44"/>
          <w:lang w:val="en-US" w:eastAsia="zh-CN"/>
        </w:rPr>
        <w:t>咪咕音乐</w:t>
      </w:r>
      <w:r>
        <w:rPr>
          <w:rFonts w:hint="eastAsia" w:asciiTheme="minorEastAsia" w:hAnsiTheme="minorEastAsia" w:eastAsiaTheme="minorEastAsia"/>
          <w:b/>
          <w:color w:val="000000"/>
          <w:sz w:val="32"/>
          <w:szCs w:val="44"/>
        </w:rPr>
        <w:t>有限公司</w:t>
      </w:r>
    </w:p>
    <w:p w14:paraId="40539AE4">
      <w:pPr>
        <w:spacing w:line="360" w:lineRule="auto"/>
        <w:jc w:val="center"/>
        <w:outlineLvl w:val="0"/>
        <w:rPr>
          <w:rFonts w:ascii="仿宋" w:hAnsi="仿宋" w:eastAsia="仿宋"/>
          <w:bCs/>
          <w:sz w:val="32"/>
          <w:szCs w:val="32"/>
          <w:highlight w:val="none"/>
        </w:rPr>
      </w:pPr>
      <w:r>
        <w:rPr>
          <w:rFonts w:hint="eastAsia" w:ascii="仿宋" w:hAnsi="仿宋" w:eastAsia="仿宋"/>
          <w:bCs/>
          <w:sz w:val="32"/>
          <w:szCs w:val="32"/>
          <w:highlight w:val="none"/>
          <w:lang w:val="en-US" w:eastAsia="zh-CN"/>
        </w:rPr>
        <w:t>XX</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XX</w:t>
      </w:r>
      <w:r>
        <w:rPr>
          <w:rFonts w:hint="eastAsia" w:ascii="仿宋" w:hAnsi="仿宋" w:eastAsia="仿宋"/>
          <w:bCs/>
          <w:sz w:val="32"/>
          <w:szCs w:val="32"/>
          <w:highlight w:val="none"/>
        </w:rPr>
        <w:t>月</w:t>
      </w:r>
    </w:p>
    <w:p w14:paraId="23D1D4AE">
      <w:pPr>
        <w:widowControl/>
        <w:spacing w:line="360" w:lineRule="auto"/>
        <w:jc w:val="left"/>
        <w:rPr>
          <w:rFonts w:ascii="仿宋" w:hAnsi="仿宋" w:eastAsia="仿宋"/>
          <w:b/>
          <w:sz w:val="44"/>
          <w:szCs w:val="44"/>
        </w:rPr>
      </w:pPr>
      <w:r>
        <w:rPr>
          <w:rFonts w:ascii="仿宋" w:hAnsi="仿宋" w:eastAsia="仿宋"/>
          <w:b/>
          <w:sz w:val="44"/>
          <w:szCs w:val="44"/>
        </w:rPr>
        <w:br w:type="page"/>
      </w:r>
    </w:p>
    <w:p w14:paraId="35319C27">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bookmarkStart w:id="0"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0"/>
    <w:p w14:paraId="2722E182">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1" w:name="_Toc331065002"/>
    </w:p>
    <w:bookmarkEnd w:id="1"/>
    <w:p w14:paraId="66381109">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 w:name="_Toc331065003"/>
      <w:r>
        <w:rPr>
          <w:rFonts w:hint="eastAsia" w:ascii="仿宋" w:hAnsi="仿宋" w:eastAsia="仿宋" w:cs="仿宋"/>
          <w:color w:val="000000" w:themeColor="text1"/>
          <w:sz w:val="24"/>
          <w:szCs w:val="24"/>
          <w14:textFill>
            <w14:solidFill>
              <w14:schemeClr w14:val="tx1"/>
            </w14:solidFill>
          </w14:textFill>
        </w:rPr>
        <w:t>2</w:t>
      </w:r>
      <w:bookmarkEnd w:id="2"/>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14:paraId="0F39659E">
      <w:pPr>
        <w:keepNext/>
        <w:keepLines/>
        <w:widowControl/>
        <w:tabs>
          <w:tab w:val="left" w:pos="0"/>
          <w:tab w:val="left" w:pos="960"/>
        </w:tabs>
        <w:snapToGrid w:val="0"/>
        <w:spacing w:before="240" w:after="240" w:line="360" w:lineRule="auto"/>
        <w:ind w:left="425" w:hanging="425"/>
        <w:outlineLvl w:val="0"/>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14:paraId="1F551EE5">
      <w:pPr>
        <w:snapToGrid w:val="0"/>
        <w:spacing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14:paraId="437A7AD3">
      <w:pPr>
        <w:keepNext w:val="0"/>
        <w:keepLines w:val="0"/>
        <w:widowControl/>
        <w:suppressLineNumbers w:val="0"/>
        <w:snapToGrid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i w:val="0"/>
          <w:iCs w:val="0"/>
          <w:caps w:val="0"/>
          <w:color w:val="000000" w:themeColor="text1"/>
          <w:spacing w:val="0"/>
          <w:kern w:val="2"/>
          <w:sz w:val="24"/>
          <w:szCs w:val="24"/>
          <w:shd w:val="clear"/>
          <w:lang w:val="en-US" w:eastAsia="zh-CN" w:bidi="ar"/>
          <w14:textFill>
            <w14:solidFill>
              <w14:schemeClr w14:val="tx1"/>
            </w14:solidFill>
          </w14:textFill>
        </w:rPr>
        <w:t>本项目为咪咕音乐 2025–2026 年省侧新媒体运营定制化服务支撑项目（线上项目），结合新媒体发展趋势与市场需求，拟引入具备通信运营商新媒体运营专业支撑及执行能力的服务商。项目核心目标是补充省侧线上定制化运营能力，建立以内容创意、传播推广、用户运营为核心的标准化支撑体系，助力通信运营商提升新媒体传播效能、用户触达精度及业务转化效率，协同推进新媒体业务拓展。</w:t>
      </w:r>
    </w:p>
    <w:p w14:paraId="1273A628">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三、服务内容</w:t>
      </w:r>
      <w:bookmarkStart w:id="3" w:name="_Toc325374940"/>
    </w:p>
    <w:bookmarkEnd w:id="3"/>
    <w:p w14:paraId="443F87C1">
      <w:pPr>
        <w:keepNext w:val="0"/>
        <w:keepLines w:val="0"/>
        <w:widowControl/>
        <w:suppressLineNumbers w:val="0"/>
        <w:snapToGrid w:val="0"/>
        <w:spacing w:line="360" w:lineRule="auto"/>
        <w:ind w:firstLine="480" w:firstLineChars="20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i w:val="0"/>
          <w:iCs w:val="0"/>
          <w:caps w:val="0"/>
          <w:color w:val="000000" w:themeColor="text1"/>
          <w:spacing w:val="0"/>
          <w:kern w:val="2"/>
          <w:sz w:val="24"/>
          <w:szCs w:val="24"/>
          <w:shd w:val="clear"/>
          <w:lang w:val="en-US" w:eastAsia="zh-CN" w:bidi="ar"/>
          <w14:textFill>
            <w14:solidFill>
              <w14:schemeClr w14:val="tx1"/>
            </w14:solidFill>
          </w14:textFill>
        </w:rPr>
        <w:t>为达成项目既定业务指标，服务商需提供以下全流程综合运营支撑服务，包括产品/ 平台服务、活动 /内容运营、用户/数据运营、场景/渠道运营、设计/制作支撑、直播/直播运营、视频/影音制作、项目/运维支撑、达人/达人合作。</w:t>
      </w:r>
    </w:p>
    <w:p w14:paraId="3D88A1E8">
      <w:pPr>
        <w:keepNext w:val="0"/>
        <w:keepLines w:val="0"/>
        <w:widowControl/>
        <w:numPr>
          <w:ilvl w:val="0"/>
          <w:numId w:val="2"/>
        </w:numPr>
        <w:suppressLineNumbers w:val="0"/>
        <w:snapToGrid w:val="0"/>
        <w:spacing w:line="360" w:lineRule="auto"/>
        <w:ind w:left="845" w:hanging="425"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人员支撑需求</w:t>
      </w:r>
    </w:p>
    <w:tbl>
      <w:tblPr>
        <w:tblStyle w:val="8"/>
        <w:tblW w:w="8790"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64"/>
        <w:gridCol w:w="3020"/>
        <w:gridCol w:w="1191"/>
        <w:gridCol w:w="3415"/>
      </w:tblGrid>
      <w:tr w14:paraId="24E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15" w:type="dxa"/>
        </w:trPr>
        <w:tc>
          <w:tcPr>
            <w:tcW w:w="1119" w:type="dxa"/>
            <w:shd w:val="clear" w:color="auto" w:fill="auto"/>
            <w:vAlign w:val="center"/>
          </w:tcPr>
          <w:p w14:paraId="3C0D3D0A">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岗位类别</w:t>
            </w:r>
          </w:p>
        </w:tc>
        <w:tc>
          <w:tcPr>
            <w:tcW w:w="2990" w:type="dxa"/>
            <w:shd w:val="clear" w:color="auto" w:fill="auto"/>
            <w:vAlign w:val="center"/>
          </w:tcPr>
          <w:p w14:paraId="1319653B">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主要职责说明</w:t>
            </w:r>
          </w:p>
        </w:tc>
        <w:tc>
          <w:tcPr>
            <w:tcW w:w="1161" w:type="dxa"/>
            <w:shd w:val="clear" w:color="auto" w:fill="auto"/>
            <w:vAlign w:val="center"/>
          </w:tcPr>
          <w:p w14:paraId="2E1CBBB2">
            <w:pPr>
              <w:keepNext w:val="0"/>
              <w:keepLines w:val="0"/>
              <w:widowControl/>
              <w:suppressLineNumbers w:val="0"/>
              <w:snapToGrid w:val="0"/>
              <w:spacing w:line="360" w:lineRule="auto"/>
              <w:ind w:firstLine="0" w:firstLineChars="0"/>
              <w:jc w:val="center"/>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级别</w:t>
            </w:r>
          </w:p>
        </w:tc>
        <w:tc>
          <w:tcPr>
            <w:tcW w:w="3370" w:type="dxa"/>
            <w:shd w:val="clear" w:color="auto" w:fill="auto"/>
            <w:vAlign w:val="center"/>
          </w:tcPr>
          <w:p w14:paraId="608F5239">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任职要求</w:t>
            </w:r>
          </w:p>
        </w:tc>
      </w:tr>
      <w:tr w14:paraId="0318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0FACD595">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 xml:space="preserve">产品/ </w:t>
            </w:r>
          </w:p>
          <w:p w14:paraId="207D4E62">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平台服务</w:t>
            </w:r>
          </w:p>
        </w:tc>
        <w:tc>
          <w:tcPr>
            <w:tcW w:w="2990" w:type="dxa"/>
            <w:shd w:val="clear" w:color="auto" w:fill="auto"/>
            <w:vAlign w:val="center"/>
          </w:tcPr>
          <w:p w14:paraId="18E3C830">
            <w:pPr>
              <w:keepNext w:val="0"/>
              <w:keepLines w:val="0"/>
              <w:widowControl/>
              <w:numPr>
                <w:ilvl w:val="0"/>
                <w:numId w:val="0"/>
              </w:numPr>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val="0"/>
                <w:bCs w:val="0"/>
                <w:color w:val="000000" w:themeColor="text1"/>
                <w:sz w:val="24"/>
                <w:szCs w:val="24"/>
                <w:lang w:val="en-GB"/>
                <w14:textFill>
                  <w14:solidFill>
                    <w14:schemeClr w14:val="tx1"/>
                  </w14:solidFill>
                </w14:textFill>
              </w:rPr>
              <w:t>包含但不限于：1）平台APP、H5、小程序、服务端支撑、网站运营服务支撑、产品上线支撑及优化、智能语音服务等；2）根据需求跟进产品运营生命周期，持续优化产品及运营，达成运营目标；3）根据需求策划营销活动、开展触点投放等；4）针对客户生命周期，开展产品及平台运营优化，上线产品促活运营等；</w:t>
            </w:r>
          </w:p>
        </w:tc>
        <w:tc>
          <w:tcPr>
            <w:tcW w:w="1161" w:type="dxa"/>
            <w:shd w:val="clear" w:color="auto" w:fill="auto"/>
            <w:vAlign w:val="center"/>
          </w:tcPr>
          <w:p w14:paraId="184713A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172DAC9F">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04FC0AE8">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304B03F2">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高级：5年以上相关经验，具备项目统筹与创新能力；</w:t>
            </w:r>
          </w:p>
          <w:p w14:paraId="55354F85">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中级：3年以上经验，能独立执行功能与配置任务；</w:t>
            </w:r>
          </w:p>
          <w:p w14:paraId="1D7C1FFB">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初级：1年以上经验，能配合完成基础运维与上线工作。</w:t>
            </w:r>
          </w:p>
        </w:tc>
      </w:tr>
      <w:tr w14:paraId="1B5C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1116BD86">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活动 /</w:t>
            </w:r>
          </w:p>
          <w:p w14:paraId="08F519F0">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内容运营</w:t>
            </w:r>
          </w:p>
        </w:tc>
        <w:tc>
          <w:tcPr>
            <w:tcW w:w="2990" w:type="dxa"/>
            <w:shd w:val="clear" w:color="auto" w:fill="auto"/>
            <w:vAlign w:val="center"/>
          </w:tcPr>
          <w:p w14:paraId="337C27F0">
            <w:pPr>
              <w:keepNext w:val="0"/>
              <w:keepLines w:val="0"/>
              <w:widowControl/>
              <w:suppressLineNumbers w:val="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负责年度内容与活动统筹，包括：1）策划品牌活动、热点话题、节日营销、版权IP类专题；2）撰写活动脚本、内容策划案、执行流程方案；3）组织执行活动复盘与总结；4）协同设计、视频团队，完成跨部门协同内容生产。</w:t>
            </w:r>
          </w:p>
        </w:tc>
        <w:tc>
          <w:tcPr>
            <w:tcW w:w="1161" w:type="dxa"/>
            <w:shd w:val="clear" w:color="auto" w:fill="auto"/>
            <w:vAlign w:val="center"/>
          </w:tcPr>
          <w:p w14:paraId="4EEBE709">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467E81F7">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3170A6B2">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2F625FBB">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高级：具备大型活动统筹与策划经验；</w:t>
            </w:r>
          </w:p>
          <w:p w14:paraId="5950489C">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中级：能独立完成选题与活动执行；</w:t>
            </w:r>
          </w:p>
          <w:p w14:paraId="4269B7D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初级：能参与内容撰写与运营执行。</w:t>
            </w:r>
          </w:p>
        </w:tc>
      </w:tr>
      <w:tr w14:paraId="5EEB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43212839">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用户/</w:t>
            </w:r>
          </w:p>
          <w:p w14:paraId="3A3978F9">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数据运营</w:t>
            </w:r>
          </w:p>
        </w:tc>
        <w:tc>
          <w:tcPr>
            <w:tcW w:w="2990" w:type="dxa"/>
            <w:shd w:val="clear" w:color="auto" w:fill="auto"/>
            <w:vAlign w:val="center"/>
          </w:tcPr>
          <w:p w14:paraId="7260D862">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建立数据监测体系，负责内容传播效果、直播与电商运营成效分析，输出数据报告与优化方案。</w:t>
            </w:r>
          </w:p>
        </w:tc>
        <w:tc>
          <w:tcPr>
            <w:tcW w:w="1161" w:type="dxa"/>
            <w:shd w:val="clear" w:color="auto" w:fill="auto"/>
            <w:vAlign w:val="center"/>
          </w:tcPr>
          <w:p w14:paraId="5C411E1B">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075D524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5F7F020A">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76BFA087">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高级：5年以上数据分析与策略经验；</w:t>
            </w:r>
          </w:p>
          <w:p w14:paraId="0495E4F9">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中级：能独立完成报告编制与分析；</w:t>
            </w:r>
          </w:p>
          <w:p w14:paraId="01AA24EC">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初级：能进行数据采集与基础统计。</w:t>
            </w:r>
          </w:p>
        </w:tc>
      </w:tr>
      <w:tr w14:paraId="6BDD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0AC8DE4D">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场景/</w:t>
            </w:r>
          </w:p>
          <w:p w14:paraId="62BD3DDF">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渠道运营</w:t>
            </w:r>
          </w:p>
        </w:tc>
        <w:tc>
          <w:tcPr>
            <w:tcW w:w="2990" w:type="dxa"/>
            <w:shd w:val="clear" w:color="auto" w:fill="auto"/>
            <w:vAlign w:val="center"/>
          </w:tcPr>
          <w:p w14:paraId="659FE2F8">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管理新媒体账号矩阵如抖音、快手、视频号、小红书等，单平台账号矩阵，如抖音本地生活运营矩阵，制定发布策略、粉丝互动机制与跨平台传播方案。</w:t>
            </w:r>
          </w:p>
        </w:tc>
        <w:tc>
          <w:tcPr>
            <w:tcW w:w="1161" w:type="dxa"/>
            <w:shd w:val="clear" w:color="auto" w:fill="auto"/>
            <w:vAlign w:val="center"/>
          </w:tcPr>
          <w:p w14:paraId="5A13B0EF">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0009C131">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797609A1">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4A831FEF">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高级：熟悉多平台内容策略，具备矩阵运营经验；</w:t>
            </w:r>
          </w:p>
          <w:p w14:paraId="7EDED468">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中级：能独立管理单账号运营；</w:t>
            </w:r>
          </w:p>
          <w:p w14:paraId="69F0FF7E">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初级：具备基础运营执行能力。</w:t>
            </w:r>
          </w:p>
        </w:tc>
      </w:tr>
      <w:tr w14:paraId="6222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4FACCFB1">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设计/</w:t>
            </w:r>
          </w:p>
          <w:p w14:paraId="36ABEE0B">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制作支撑</w:t>
            </w:r>
          </w:p>
        </w:tc>
        <w:tc>
          <w:tcPr>
            <w:tcW w:w="2990" w:type="dxa"/>
            <w:shd w:val="clear" w:color="auto" w:fill="auto"/>
            <w:vAlign w:val="center"/>
          </w:tcPr>
          <w:p w14:paraId="410C5440">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负责、视觉包装、海报KV、H5页面、专题视觉及品牌物料设计；</w:t>
            </w:r>
          </w:p>
        </w:tc>
        <w:tc>
          <w:tcPr>
            <w:tcW w:w="1161" w:type="dxa"/>
            <w:shd w:val="clear" w:color="auto" w:fill="auto"/>
            <w:vAlign w:val="center"/>
          </w:tcPr>
          <w:p w14:paraId="07DB503C">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0D554E8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3BB17CE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31CA699B">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高级：5年以上设计与视觉统筹经验；</w:t>
            </w:r>
          </w:p>
          <w:p w14:paraId="34A80998">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中级：能独立完成设计稿；</w:t>
            </w:r>
          </w:p>
          <w:p w14:paraId="4402E3CB">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初级：具备基础设计制作能力。</w:t>
            </w:r>
          </w:p>
        </w:tc>
      </w:tr>
      <w:tr w14:paraId="7D80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3EE4D96A">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直播/</w:t>
            </w:r>
          </w:p>
          <w:p w14:paraId="0458E02A">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直播运营</w:t>
            </w:r>
          </w:p>
        </w:tc>
        <w:tc>
          <w:tcPr>
            <w:tcW w:w="2990" w:type="dxa"/>
            <w:shd w:val="clear" w:color="auto" w:fill="auto"/>
            <w:vAlign w:val="center"/>
          </w:tcPr>
          <w:p w14:paraId="1770368A">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负责直播策划、脚本设计、现场执行与复盘；支持带货、电商转化及活动直播；提供主播、导播、场控等执行人员。</w:t>
            </w:r>
          </w:p>
        </w:tc>
        <w:tc>
          <w:tcPr>
            <w:tcW w:w="1161" w:type="dxa"/>
            <w:shd w:val="clear" w:color="auto" w:fill="auto"/>
            <w:vAlign w:val="center"/>
          </w:tcPr>
          <w:p w14:paraId="1584491A">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34CA99B7">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7648382D">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4BF54EE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高级：有品牌直播或电商项目经验；</w:t>
            </w:r>
          </w:p>
          <w:p w14:paraId="184C39D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中级：能独立组织直播执行；</w:t>
            </w:r>
          </w:p>
          <w:p w14:paraId="44BC660F">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初级：具备助播与场控经验。</w:t>
            </w:r>
          </w:p>
        </w:tc>
      </w:tr>
      <w:tr w14:paraId="215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355DDCB4">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视频/</w:t>
            </w:r>
          </w:p>
          <w:p w14:paraId="06B58337">
            <w:pPr>
              <w:keepNext w:val="0"/>
              <w:keepLines w:val="0"/>
              <w:widowControl/>
              <w:suppressLineNumbers w:val="0"/>
              <w:snapToGrid w:val="0"/>
              <w:spacing w:line="360" w:lineRule="auto"/>
              <w:ind w:firstLine="0" w:firstLineChars="0"/>
              <w:jc w:val="left"/>
              <w:rPr>
                <w:rFonts w:hint="default"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影音制作</w:t>
            </w:r>
          </w:p>
        </w:tc>
        <w:tc>
          <w:tcPr>
            <w:tcW w:w="2990" w:type="dxa"/>
            <w:shd w:val="clear" w:color="auto" w:fill="auto"/>
            <w:vAlign w:val="center"/>
          </w:tcPr>
          <w:p w14:paraId="5C4C1F46">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视频内容制作，包括：1）原创视频拍摄剪辑活动纪录片；2）制定创意分镜脚本、镜头设计、现场拍摄指导；3）负责后期调色、音效混剪、特效合成；4）支持AI视频生成、虚拟人驱动、3D场景建模、虚拟演播室制作；5）保障视频内容风格统一与发布合规。</w:t>
            </w:r>
          </w:p>
          <w:p w14:paraId="6AFFF44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c>
          <w:tcPr>
            <w:tcW w:w="1161" w:type="dxa"/>
            <w:shd w:val="clear" w:color="auto" w:fill="auto"/>
            <w:vAlign w:val="center"/>
          </w:tcPr>
          <w:p w14:paraId="60601F5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152A192D">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36F9008B">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71987335">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高级：5年以上视频导演/后期经验，熟悉视频统筹制作；</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中级：能独立完成视频剪辑、调色与后期包装；</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 初级：熟悉视频拍摄、素材整理与分镜执行。</w:t>
            </w:r>
          </w:p>
          <w:p w14:paraId="6C12F489">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r>
      <w:tr w14:paraId="57B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39CE10D7">
            <w:pPr>
              <w:keepNext w:val="0"/>
              <w:keepLines w:val="0"/>
              <w:widowControl/>
              <w:suppressLineNumbers w:val="0"/>
              <w:snapToGrid w:val="0"/>
              <w:spacing w:line="360" w:lineRule="auto"/>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项目/</w:t>
            </w:r>
          </w:p>
          <w:p w14:paraId="3F75DA28">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运维支撑</w:t>
            </w:r>
          </w:p>
        </w:tc>
        <w:tc>
          <w:tcPr>
            <w:tcW w:w="2990" w:type="dxa"/>
            <w:shd w:val="clear" w:color="auto" w:fill="auto"/>
            <w:vAlign w:val="center"/>
          </w:tcPr>
          <w:p w14:paraId="7E2D5028">
            <w:pPr>
              <w:keepNext w:val="0"/>
              <w:keepLines w:val="0"/>
              <w:widowControl/>
              <w:suppressLineNumbers w:val="0"/>
              <w:snapToGrid w:val="0"/>
              <w:spacing w:line="360" w:lineRule="auto"/>
              <w:jc w:val="left"/>
              <w:rPr>
                <w:rFonts w:hint="eastAsia"/>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项目统筹与日常运营支撑，包括：1）项目进度管理、资源协调与执行监督；2）制定日报、周报、月报机制；3）质量控制与风险预警；4）协助甲方进行项目复盘、预算分析与结果呈现；5）保障整体运维高效稳定。</w:t>
            </w:r>
          </w:p>
        </w:tc>
        <w:tc>
          <w:tcPr>
            <w:tcW w:w="1161" w:type="dxa"/>
            <w:shd w:val="clear" w:color="auto" w:fill="auto"/>
            <w:vAlign w:val="center"/>
          </w:tcPr>
          <w:p w14:paraId="783D4884">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198FDD8E">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0AB11A37">
            <w:pPr>
              <w:keepNext w:val="0"/>
              <w:keepLines w:val="0"/>
              <w:widowControl/>
              <w:suppressLineNumbers w:val="0"/>
              <w:snapToGrid w:val="0"/>
              <w:spacing w:line="360" w:lineRule="auto"/>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4F897B39">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高级：5年以上项目管理经验；</w:t>
            </w:r>
          </w:p>
          <w:p w14:paraId="6004D65E">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中级：熟悉项目执行流程；</w:t>
            </w:r>
          </w:p>
          <w:p w14:paraId="523B0518">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初级：能承担运维协作与信息整理。</w:t>
            </w:r>
          </w:p>
        </w:tc>
      </w:tr>
      <w:tr w14:paraId="4794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119" w:type="dxa"/>
            <w:shd w:val="clear" w:color="auto" w:fill="auto"/>
            <w:vAlign w:val="center"/>
          </w:tcPr>
          <w:p w14:paraId="53AD7915">
            <w:pPr>
              <w:keepNext w:val="0"/>
              <w:keepLines w:val="0"/>
              <w:widowControl/>
              <w:suppressLineNumbers w:val="0"/>
              <w:snapToGrid w:val="0"/>
              <w:spacing w:line="360" w:lineRule="auto"/>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达人/</w:t>
            </w:r>
          </w:p>
          <w:p w14:paraId="6E9F03E8">
            <w:pPr>
              <w:keepNext w:val="0"/>
              <w:keepLines w:val="0"/>
              <w:widowControl/>
              <w:suppressLineNumbers w:val="0"/>
              <w:snapToGrid w:val="0"/>
              <w:spacing w:line="360" w:lineRule="auto"/>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达人合作</w:t>
            </w:r>
          </w:p>
          <w:p w14:paraId="3BF4A489">
            <w:pPr>
              <w:keepNext w:val="0"/>
              <w:keepLines w:val="0"/>
              <w:widowControl/>
              <w:suppressLineNumbers w:val="0"/>
              <w:snapToGrid w:val="0"/>
              <w:spacing w:line="360" w:lineRule="auto"/>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p>
        </w:tc>
        <w:tc>
          <w:tcPr>
            <w:tcW w:w="2990" w:type="dxa"/>
            <w:shd w:val="clear" w:color="auto" w:fill="auto"/>
            <w:vAlign w:val="center"/>
          </w:tcPr>
          <w:p w14:paraId="36237304">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负责达人资源整合与传播运营协同工作，包括：</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1）建立达人资源库，覆盖抖音、视频号、小红书、快手等主流平台，结合项目目标及产品特性筛选匹配头部、腰部及区域垂类达人；</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2）负责达人邀约、合作谈判、签约履约、素材对接、排期管理及结算协同；</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3）策划达人共创内容与品牌活动（如短视频共创、挑战赛、话题营销、联合直播带货等），形成内容执行方案与传播节奏表；</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4）协同内容、设计、数据等团队开展达人内容质控、发布监测与传播优化；</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5）开展达人带货、电商推广或直播联动，输出带货复盘及ROI分析报告；</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6）监测达人合作传播成效，包括曝光量、互动率、转化率等关键指标，定期形成数据报告，为后续优化提供决策支撑。</w:t>
            </w:r>
          </w:p>
        </w:tc>
        <w:tc>
          <w:tcPr>
            <w:tcW w:w="1161" w:type="dxa"/>
            <w:shd w:val="clear" w:color="auto" w:fill="auto"/>
            <w:vAlign w:val="center"/>
          </w:tcPr>
          <w:p w14:paraId="52D3A58A">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28762624">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7D945C23">
            <w:pPr>
              <w:keepNext w:val="0"/>
              <w:keepLines w:val="0"/>
              <w:widowControl/>
              <w:suppressLineNumbers w:val="0"/>
              <w:snapToGrid w:val="0"/>
              <w:spacing w:line="360" w:lineRule="auto"/>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5CE3F428">
            <w:pPr>
              <w:pStyle w:val="7"/>
              <w:keepNext w:val="0"/>
              <w:keepLines w:val="0"/>
              <w:widowControl/>
              <w:suppressLineNumbers w:val="0"/>
              <w:ind w:left="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高级：具备5年以上达人营销、MCN管理及整合传播经验，熟悉平台达人生态与投放策略；</w:t>
            </w:r>
          </w:p>
          <w:p w14:paraId="29A4A2F3">
            <w:pPr>
              <w:pStyle w:val="7"/>
              <w:ind w:left="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中级：具备3年以上达人运营及内容执行经验，能独立完成达人筛选、执行与复盘；</w:t>
            </w:r>
          </w:p>
          <w:p w14:paraId="68B0E7F5">
            <w:pPr>
              <w:pStyle w:val="7"/>
              <w:ind w:left="0"/>
              <w:rPr>
                <w:rFonts w:hint="eastAsia" w:eastAsia="仿宋"/>
                <w:lang w:eastAsia="zh-CN"/>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初级：具备达人联络与内容执行经验，能协助完成数据监测与传播报告整理</w:t>
            </w:r>
            <w:r>
              <w:rPr>
                <w:rFonts w:hint="eastAsia" w:ascii="仿宋" w:hAnsi="仿宋" w:eastAsia="仿宋" w:cs="仿宋"/>
                <w:color w:val="000000" w:themeColor="text1"/>
                <w:kern w:val="2"/>
                <w:lang w:eastAsia="zh-CN"/>
                <w14:textFill>
                  <w14:solidFill>
                    <w14:schemeClr w14:val="tx1"/>
                  </w14:solidFill>
                </w14:textFill>
              </w:rPr>
              <w:t>。</w:t>
            </w:r>
          </w:p>
          <w:p w14:paraId="1BA19725">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r>
    </w:tbl>
    <w:p w14:paraId="75B8B455">
      <w:pPr>
        <w:pStyle w:val="2"/>
        <w:rPr>
          <w:rFonts w:hint="eastAsia"/>
          <w:lang w:val="en-US" w:eastAsia="zh-CN"/>
        </w:rPr>
      </w:pPr>
    </w:p>
    <w:p w14:paraId="0C8489FF">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补充要求：</w:t>
      </w:r>
    </w:p>
    <w:p w14:paraId="7912F43C">
      <w:pPr>
        <w:numPr>
          <w:ilvl w:val="0"/>
          <w:numId w:val="3"/>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所有项目成员须具备专科及以上学历；</w:t>
      </w:r>
    </w:p>
    <w:p w14:paraId="1256BB78">
      <w:pPr>
        <w:numPr>
          <w:ilvl w:val="0"/>
          <w:numId w:val="3"/>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服务商须根据项目规模合理配置岗位人员数量，确保响应及时、交付高效；</w:t>
      </w:r>
    </w:p>
    <w:p w14:paraId="50DDF08E">
      <w:pPr>
        <w:numPr>
          <w:ilvl w:val="0"/>
          <w:numId w:val="3"/>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引入方有权对应答人提交的人员资质进行审核，对不符合要求的人员有权要求更换。</w:t>
      </w:r>
    </w:p>
    <w:p w14:paraId="23E0E4E5">
      <w:pPr>
        <w:keepNext w:val="0"/>
        <w:keepLines w:val="0"/>
        <w:widowControl/>
        <w:numPr>
          <w:ilvl w:val="0"/>
          <w:numId w:val="3"/>
        </w:numPr>
        <w:snapToGrid w:val="0"/>
        <w:spacing w:before="0" w:after="0" w:line="360" w:lineRule="auto"/>
        <w:ind w:left="420" w:hanging="420"/>
        <w:jc w:val="left"/>
        <w:outlineLvl w:val="9"/>
        <w:rPr>
          <w:rFonts w:ascii="仿宋" w:hAnsi="仿宋" w:eastAsia="仿宋" w:cs="仿宋"/>
          <w:bCs/>
          <w:color w:val="auto"/>
          <w:sz w:val="24"/>
        </w:rPr>
      </w:pPr>
      <w:r>
        <w:rPr>
          <w:rFonts w:hint="eastAsia" w:ascii="仿宋" w:hAnsi="仿宋" w:eastAsia="仿宋" w:cs="仿宋"/>
          <w:color w:val="000000" w:themeColor="text1"/>
          <w:sz w:val="24"/>
          <w:szCs w:val="24"/>
          <w:lang w:val="en-GB"/>
          <w14:textFill>
            <w14:solidFill>
              <w14:schemeClr w14:val="tx1"/>
            </w14:solidFill>
          </w14:textFill>
        </w:rPr>
        <w:t>服务地点为咪咕音乐指定办公场地或线上远程支撑。</w:t>
      </w:r>
    </w:p>
    <w:p w14:paraId="68410620">
      <w:pPr>
        <w:keepNext w:val="0"/>
        <w:keepLines w:val="0"/>
        <w:widowControl/>
        <w:numPr>
          <w:ilvl w:val="0"/>
          <w:numId w:val="2"/>
        </w:numPr>
        <w:snapToGrid w:val="0"/>
        <w:ind w:left="845" w:hanging="425"/>
        <w:jc w:val="left"/>
        <w:rPr>
          <w:rFonts w:hint="eastAsia" w:ascii="仿宋" w:hAnsi="仿宋" w:eastAsia="仿宋" w:cs="仿宋"/>
          <w:b/>
          <w:bCs/>
          <w:color w:val="000000" w:themeColor="text1"/>
          <w:kern w:val="2"/>
          <w:sz w:val="24"/>
          <w:lang w:bidi="ar"/>
          <w14:textFill>
            <w14:solidFill>
              <w14:schemeClr w14:val="tx1"/>
            </w14:solidFill>
          </w14:textFill>
        </w:rPr>
      </w:pPr>
      <w:r>
        <w:rPr>
          <w:rFonts w:hint="eastAsia" w:ascii="仿宋" w:hAnsi="仿宋" w:eastAsia="仿宋" w:cs="仿宋"/>
          <w:b/>
          <w:bCs/>
          <w:color w:val="000000" w:themeColor="text1"/>
          <w:kern w:val="2"/>
          <w:sz w:val="24"/>
          <w:lang w:bidi="ar"/>
          <w14:textFill>
            <w14:solidFill>
              <w14:schemeClr w14:val="tx1"/>
            </w14:solidFill>
          </w14:textFill>
        </w:rPr>
        <w:t>服务期限</w:t>
      </w:r>
    </w:p>
    <w:p w14:paraId="71740B6A">
      <w:pPr>
        <w:spacing w:line="360" w:lineRule="auto"/>
        <w:ind w:firstLine="480" w:firstLineChars="200"/>
        <w:jc w:val="left"/>
        <w:rPr>
          <w:rFonts w:hint="eastAsia" w:ascii="仿宋" w:hAnsi="仿宋" w:eastAsia="仿宋" w:cs="仿宋"/>
          <w:bCs/>
          <w:color w:val="000000" w:themeColor="text1"/>
          <w:sz w:val="24"/>
          <w14:textFill>
            <w14:solidFill>
              <w14:schemeClr w14:val="tx1"/>
            </w14:solidFill>
          </w14:textFill>
        </w:rPr>
      </w:pPr>
      <w:bookmarkStart w:id="4" w:name="_Toc228160348"/>
      <w:r>
        <w:rPr>
          <w:rFonts w:hint="eastAsia" w:ascii="仿宋" w:hAnsi="仿宋" w:eastAsia="仿宋" w:cs="仿宋"/>
          <w:bCs/>
          <w:color w:val="000000" w:themeColor="text1"/>
          <w:sz w:val="24"/>
          <w14:textFill>
            <w14:solidFill>
              <w14:schemeClr w14:val="tx1"/>
            </w14:solidFill>
          </w14:textFill>
        </w:rPr>
        <w:t>自合同签署之日起</w:t>
      </w:r>
      <w:r>
        <w:rPr>
          <w:rFonts w:hint="eastAsia" w:ascii="仿宋" w:hAnsi="仿宋" w:eastAsia="仿宋" w:cs="仿宋"/>
          <w:bCs/>
          <w:color w:val="000000" w:themeColor="text1"/>
          <w:sz w:val="24"/>
          <w:lang w:val="en-US" w:eastAsia="zh-CN"/>
          <w14:textFill>
            <w14:solidFill>
              <w14:schemeClr w14:val="tx1"/>
            </w14:solidFill>
          </w14:textFill>
        </w:rPr>
        <w:t>1</w:t>
      </w:r>
      <w:r>
        <w:rPr>
          <w:rFonts w:hint="eastAsia" w:ascii="仿宋" w:hAnsi="仿宋" w:eastAsia="仿宋" w:cs="仿宋"/>
          <w:bCs/>
          <w:color w:val="000000" w:themeColor="text1"/>
          <w:sz w:val="24"/>
          <w14:textFill>
            <w14:solidFill>
              <w14:schemeClr w14:val="tx1"/>
            </w14:solidFill>
          </w14:textFill>
        </w:rPr>
        <w:t>年（具体以合同签订日期为准）</w:t>
      </w:r>
    </w:p>
    <w:p w14:paraId="49EC6162">
      <w:pPr>
        <w:keepNext w:val="0"/>
        <w:keepLines w:val="0"/>
        <w:widowControl/>
        <w:numPr>
          <w:ilvl w:val="0"/>
          <w:numId w:val="2"/>
        </w:numPr>
        <w:snapToGrid w:val="0"/>
        <w:ind w:left="845" w:hanging="425"/>
        <w:jc w:val="left"/>
        <w:outlineLvl w:val="1"/>
        <w:rPr>
          <w:rFonts w:hint="eastAsia" w:ascii="仿宋" w:hAnsi="仿宋" w:eastAsia="仿宋" w:cs="仿宋"/>
          <w:b/>
          <w:bCs/>
          <w:color w:val="000000" w:themeColor="text1"/>
          <w:kern w:val="2"/>
          <w:sz w:val="24"/>
          <w:lang w:bidi="ar"/>
          <w14:textFill>
            <w14:solidFill>
              <w14:schemeClr w14:val="tx1"/>
            </w14:solidFill>
          </w14:textFill>
        </w:rPr>
      </w:pPr>
      <w:r>
        <w:rPr>
          <w:rFonts w:hint="eastAsia" w:ascii="仿宋" w:hAnsi="仿宋" w:eastAsia="仿宋" w:cs="仿宋"/>
          <w:b/>
          <w:bCs/>
          <w:color w:val="000000" w:themeColor="text1"/>
          <w:kern w:val="2"/>
          <w:sz w:val="24"/>
          <w:lang w:val="en-US" w:eastAsia="zh-CN" w:bidi="ar"/>
          <w14:textFill>
            <w14:solidFill>
              <w14:schemeClr w14:val="tx1"/>
            </w14:solidFill>
          </w14:textFill>
        </w:rPr>
        <w:t>质量与安全管理</w:t>
      </w:r>
    </w:p>
    <w:p w14:paraId="6544DE3E">
      <w:pPr>
        <w:keepNext w:val="0"/>
        <w:keepLines w:val="0"/>
        <w:widowControl/>
        <w:suppressLineNumbers w:val="0"/>
        <w:spacing w:line="360" w:lineRule="auto"/>
        <w:ind w:firstLine="480" w:firstLineChars="200"/>
        <w:jc w:val="left"/>
        <w:rPr>
          <w:rFonts w:hint="eastAsia" w:ascii="仿宋" w:hAnsi="仿宋" w:eastAsia="仿宋" w:cs="仿宋"/>
          <w:bCs/>
          <w:color w:val="000000" w:themeColor="text1"/>
          <w:sz w:val="24"/>
          <w:lang w:val="en-GB"/>
          <w14:textFill>
            <w14:solidFill>
              <w14:schemeClr w14:val="tx1"/>
            </w14:solidFill>
          </w14:textFill>
        </w:rPr>
      </w:pPr>
      <w:r>
        <w:rPr>
          <w:rFonts w:hint="eastAsia" w:ascii="仿宋" w:hAnsi="仿宋" w:eastAsia="仿宋" w:cs="仿宋"/>
          <w:bCs/>
          <w:color w:val="000000" w:themeColor="text1"/>
          <w:kern w:val="2"/>
          <w:sz w:val="24"/>
          <w:szCs w:val="24"/>
          <w:lang w:val="en-GB" w:eastAsia="zh-CN" w:bidi="ar"/>
          <w14:textFill>
            <w14:solidFill>
              <w14:schemeClr w14:val="tx1"/>
            </w14:solidFill>
          </w14:textFill>
        </w:rPr>
        <w:t>应答人应制定详细的质量与安全管理计划，涵盖内容安全、网络安全及信息安全等方面。计划应明确质量控制目标、检测方法、问题整改机制及持续优化措施，确保运营支撑服务安全、稳定、合规。”</w:t>
      </w:r>
    </w:p>
    <w:p w14:paraId="2E9613A0">
      <w:pPr>
        <w:widowControl/>
        <w:numPr>
          <w:ilvl w:val="0"/>
          <w:numId w:val="2"/>
        </w:numPr>
        <w:snapToGrid w:val="0"/>
        <w:ind w:left="845" w:hanging="425"/>
        <w:jc w:val="left"/>
        <w:rPr>
          <w:rFonts w:hint="default" w:ascii="仿宋" w:hAnsi="仿宋" w:eastAsia="仿宋" w:cs="仿宋"/>
          <w:bCs/>
          <w:color w:val="auto"/>
          <w:kern w:val="2"/>
          <w:sz w:val="24"/>
          <w:lang w:bidi="ar"/>
        </w:rPr>
      </w:pPr>
      <w:r>
        <w:rPr>
          <w:rFonts w:hint="eastAsia" w:ascii="仿宋" w:hAnsi="仿宋" w:eastAsia="仿宋" w:cs="仿宋"/>
          <w:b/>
          <w:bCs/>
          <w:color w:val="000000" w:themeColor="text1"/>
          <w:kern w:val="2"/>
          <w:sz w:val="24"/>
          <w:lang w:val="en-US" w:eastAsia="zh-CN" w:bidi="ar"/>
          <w14:textFill>
            <w14:solidFill>
              <w14:schemeClr w14:val="tx1"/>
            </w14:solidFill>
          </w14:textFill>
        </w:rPr>
        <w:t>双方权责要求</w:t>
      </w:r>
    </w:p>
    <w:p w14:paraId="676E6C9D">
      <w:pPr>
        <w:widowControl/>
        <w:numPr>
          <w:ilvl w:val="-1"/>
          <w:numId w:val="0"/>
        </w:numPr>
        <w:snapToGrid w:val="0"/>
        <w:ind w:left="420" w:firstLine="0"/>
        <w:jc w:val="left"/>
        <w:rPr>
          <w:rFonts w:hint="eastAsia" w:ascii="仿宋" w:hAnsi="仿宋" w:eastAsia="仿宋" w:cs="仿宋"/>
          <w:b/>
          <w:bCs/>
          <w:color w:val="000000" w:themeColor="text1"/>
          <w:kern w:val="2"/>
          <w:sz w:val="24"/>
          <w:lang w:bidi="ar"/>
          <w14:textFill>
            <w14:solidFill>
              <w14:schemeClr w14:val="tx1"/>
            </w14:solidFill>
          </w14:textFill>
        </w:rPr>
      </w:pPr>
    </w:p>
    <w:p w14:paraId="2B536F88">
      <w:pPr>
        <w:keepNext w:val="0"/>
        <w:keepLines w:val="0"/>
        <w:widowControl/>
        <w:numPr>
          <w:ilvl w:val="1"/>
          <w:numId w:val="2"/>
        </w:numPr>
        <w:suppressLineNumbers w:val="0"/>
        <w:snapToGrid w:val="0"/>
        <w:ind w:left="420"/>
        <w:jc w:val="left"/>
        <w:outlineLvl w:val="1"/>
      </w:pPr>
      <w:r>
        <w:rPr>
          <w:rFonts w:hint="eastAsia" w:ascii="仿宋" w:hAnsi="仿宋" w:eastAsia="仿宋" w:cs="仿宋"/>
          <w:b/>
          <w:bCs/>
          <w:color w:val="000000" w:themeColor="text1"/>
          <w:sz w:val="24"/>
          <w:lang w:val="en-US" w:eastAsia="zh-CN" w:bidi="ar"/>
          <w14:textFill>
            <w14:solidFill>
              <w14:schemeClr w14:val="tx1"/>
            </w14:solidFill>
          </w14:textFill>
        </w:rPr>
        <w:t>引入</w:t>
      </w:r>
      <w:r>
        <w:rPr>
          <w:rFonts w:hint="eastAsia" w:ascii="仿宋" w:hAnsi="仿宋" w:eastAsia="仿宋" w:cs="仿宋"/>
          <w:b/>
          <w:bCs/>
          <w:color w:val="000000" w:themeColor="text1"/>
          <w:sz w:val="24"/>
          <w:lang w:bidi="ar"/>
          <w14:textFill>
            <w14:solidFill>
              <w14:schemeClr w14:val="tx1"/>
            </w14:solidFill>
          </w14:textFill>
        </w:rPr>
        <w:t>人权利义务</w:t>
      </w:r>
      <w:bookmarkEnd w:id="4"/>
    </w:p>
    <w:p w14:paraId="0F35D529">
      <w:pPr>
        <w:widowControl/>
        <w:spacing w:line="360" w:lineRule="auto"/>
        <w:ind w:firstLine="480" w:firstLineChars="200"/>
        <w:jc w:val="left"/>
        <w:rPr>
          <w:rFonts w:hint="eastAsia"/>
        </w:rPr>
      </w:pPr>
      <w:r>
        <w:rPr>
          <w:rFonts w:hint="eastAsia" w:ascii="仿宋" w:hAnsi="仿宋" w:eastAsia="仿宋" w:cs="仿宋"/>
          <w:bCs/>
          <w:color w:val="000000" w:themeColor="text1"/>
          <w:kern w:val="2"/>
          <w:sz w:val="24"/>
          <w:szCs w:val="24"/>
          <w:lang w:val="en-GB" w:eastAsia="zh-CN" w:bidi="ar"/>
          <w14:textFill>
            <w14:solidFill>
              <w14:schemeClr w14:val="tx1"/>
            </w14:solidFill>
          </w14:textFill>
        </w:rPr>
        <w:t>咪咕音乐有限公司作为项目主导单位，承担本项目的总体规划、统筹管理、质量把控及风险控制职责。应答人作为外部支撑方，在咪咕公司统一部署下开展执行工作，须严格遵守引入方的管理要求与交付标准。</w:t>
      </w:r>
    </w:p>
    <w:p w14:paraId="456FE5BE">
      <w:pPr>
        <w:numPr>
          <w:ilvl w:val="-1"/>
          <w:numId w:val="0"/>
        </w:numPr>
        <w:spacing w:line="360" w:lineRule="auto"/>
        <w:ind w:left="0" w:leftChars="0" w:firstLine="420" w:firstLineChars="0"/>
        <w:jc w:val="left"/>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4.1.1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r>
        <w:rPr>
          <w:rFonts w:hint="eastAsia" w:ascii="仿宋" w:hAnsi="仿宋" w:eastAsia="仿宋" w:cs="仿宋"/>
          <w:bCs/>
          <w:color w:val="000000" w:themeColor="text1"/>
          <w:sz w:val="24"/>
          <w:lang w:eastAsia="zh-CN"/>
          <w14:textFill>
            <w14:solidFill>
              <w14:schemeClr w14:val="tx1"/>
            </w14:solidFill>
          </w14:textFill>
        </w:rPr>
        <w:t>；</w:t>
      </w:r>
    </w:p>
    <w:p w14:paraId="355CD9BE">
      <w:pPr>
        <w:numPr>
          <w:ilvl w:val="-1"/>
          <w:numId w:val="0"/>
        </w:numPr>
        <w:spacing w:line="360" w:lineRule="auto"/>
        <w:ind w:left="0" w:leftChars="0" w:firstLine="420" w:firstLineChars="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4.1.2 </w:t>
      </w:r>
      <w:r>
        <w:rPr>
          <w:rFonts w:hint="eastAsia" w:ascii="仿宋" w:hAnsi="仿宋" w:eastAsia="仿宋" w:cs="仿宋"/>
          <w:bCs/>
          <w:color w:val="000000" w:themeColor="text1"/>
          <w:sz w:val="24"/>
          <w14:textFill>
            <w14:solidFill>
              <w14:schemeClr w14:val="tx1"/>
            </w14:solidFill>
          </w14:textFill>
        </w:rPr>
        <w:t>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14:paraId="1D3B787E">
      <w:pPr>
        <w:numPr>
          <w:ilvl w:val="-1"/>
          <w:numId w:val="0"/>
        </w:numPr>
        <w:spacing w:line="360" w:lineRule="auto"/>
        <w:ind w:left="420" w:leftChars="0" w:firstLine="0" w:firstLineChars="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4.1.3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14:paraId="08FE7FC8">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4.1.4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14:paraId="16CC7288">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4.1.5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14:paraId="11875910">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4.1.6 </w:t>
      </w:r>
      <w:r>
        <w:rPr>
          <w:rFonts w:hint="eastAsia" w:ascii="仿宋" w:hAnsi="仿宋" w:eastAsia="仿宋" w:cs="仿宋"/>
          <w:bCs/>
          <w:color w:val="000000" w:themeColor="text1"/>
          <w:sz w:val="24"/>
          <w14:textFill>
            <w14:solidFill>
              <w14:schemeClr w14:val="tx1"/>
            </w14:solidFill>
          </w14:textFill>
        </w:rPr>
        <w:t>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14:paraId="6794A124">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4.1.7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14:paraId="5E4721B8">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14:paraId="7CB0337F">
      <w:pPr>
        <w:numPr>
          <w:ilvl w:val="-1"/>
          <w:numId w:val="0"/>
        </w:numPr>
        <w:spacing w:line="360" w:lineRule="auto"/>
        <w:ind w:left="420" w:leftChars="0" w:firstLine="0" w:firstLineChars="0"/>
        <w:jc w:val="left"/>
        <w:rPr>
          <w:rFonts w:hint="eastAsia" w:ascii="仿宋" w:hAnsi="仿宋" w:eastAsia="仿宋" w:cs="仿宋"/>
          <w:b/>
          <w:bCs/>
          <w:color w:val="000000" w:themeColor="text1"/>
          <w:kern w:val="2"/>
          <w:sz w:val="24"/>
          <w:lang w:val="en-US" w:eastAsia="zh-CN" w:bidi="ar"/>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bookmarkStart w:id="5" w:name="_Toc177206162"/>
      <w:bookmarkEnd w:id="5"/>
      <w:bookmarkStart w:id="6" w:name="_Toc177206163"/>
      <w:bookmarkEnd w:id="6"/>
    </w:p>
    <w:p w14:paraId="6ADE486E">
      <w:pPr>
        <w:numPr>
          <w:ilvl w:val="0"/>
          <w:numId w:val="0"/>
        </w:numPr>
        <w:spacing w:line="360" w:lineRule="auto"/>
        <w:ind w:left="420" w:leftChars="0"/>
        <w:jc w:val="left"/>
        <w:rPr>
          <w:rFonts w:hint="eastAsia" w:ascii="仿宋" w:hAnsi="仿宋" w:eastAsia="仿宋" w:cs="仿宋"/>
          <w:b/>
          <w:bCs/>
          <w:color w:val="000000" w:themeColor="text1"/>
          <w:kern w:val="2"/>
          <w:sz w:val="24"/>
          <w:lang w:val="en-US" w:eastAsia="zh-CN" w:bidi="ar"/>
          <w14:textFill>
            <w14:solidFill>
              <w14:schemeClr w14:val="tx1"/>
            </w14:solidFill>
          </w14:textFill>
        </w:rPr>
      </w:pPr>
      <w:r>
        <w:rPr>
          <w:rFonts w:hint="eastAsia" w:ascii="仿宋" w:hAnsi="仿宋" w:eastAsia="仿宋" w:cs="仿宋"/>
          <w:b/>
          <w:bCs/>
          <w:color w:val="000000" w:themeColor="text1"/>
          <w:kern w:val="2"/>
          <w:sz w:val="24"/>
          <w:lang w:val="en-US" w:eastAsia="zh-CN" w:bidi="ar"/>
          <w14:textFill>
            <w14:solidFill>
              <w14:schemeClr w14:val="tx1"/>
            </w14:solidFill>
          </w14:textFill>
        </w:rPr>
        <w:t>4.2应答人权利义务</w:t>
      </w:r>
    </w:p>
    <w:p w14:paraId="1F2C2A8F">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14:paraId="263D5802">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制定的工作目标、工作流程及工作服务质量标准要求，合理安排服务进度，保证高效、及时地完成本合同约定的所有服务项目，应答人在服务期内所产生的智力成果及劳动成果其全部知识产权及其他所有权益都归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lang w:val="en-US" w:eastAsia="zh-CN"/>
          <w14:textFill>
            <w14:solidFill>
              <w14:schemeClr w14:val="tx1"/>
            </w14:solidFill>
          </w14:textFill>
        </w:rPr>
        <w:t>单独</w:t>
      </w:r>
      <w:r>
        <w:rPr>
          <w:rFonts w:hint="eastAsia" w:ascii="仿宋" w:hAnsi="仿宋" w:eastAsia="仿宋" w:cs="仿宋"/>
          <w:bCs/>
          <w:color w:val="000000" w:themeColor="text1"/>
          <w:sz w:val="24"/>
          <w14:textFill>
            <w14:solidFill>
              <w14:schemeClr w14:val="tx1"/>
            </w14:solidFill>
          </w14:textFill>
        </w:rPr>
        <w:t>所有；</w:t>
      </w:r>
    </w:p>
    <w:p w14:paraId="3ABAB86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14:paraId="0C39A00B">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的信息内容安全，对所从事的工作内容保密，不向第三方透露；</w:t>
      </w:r>
    </w:p>
    <w:p w14:paraId="05BB5641">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14:paraId="447B2FF2">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14:paraId="09E59D5D">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14:paraId="4BE7D677">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7"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7"/>
      <w:r>
        <w:rPr>
          <w:rFonts w:hint="eastAsia" w:ascii="仿宋" w:hAnsi="仿宋" w:eastAsia="仿宋" w:cs="仿宋"/>
          <w:bCs/>
          <w:color w:val="000000" w:themeColor="text1"/>
          <w:sz w:val="24"/>
          <w14:textFill>
            <w14:solidFill>
              <w14:schemeClr w14:val="tx1"/>
            </w14:solidFill>
          </w14:textFill>
        </w:rPr>
        <w:t>在合同启动时，按需到岗；</w:t>
      </w:r>
    </w:p>
    <w:p w14:paraId="4C501E11">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14:paraId="36E33E0C">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14:paraId="1A50AA4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w:t>
      </w:r>
      <w:r>
        <w:rPr>
          <w:rFonts w:hint="eastAsia" w:ascii="仿宋" w:hAnsi="仿宋" w:eastAsia="仿宋" w:cs="仿宋"/>
          <w:bCs/>
          <w:color w:val="000000" w:themeColor="text1"/>
          <w:sz w:val="24"/>
          <w:lang w:val="en-US" w:eastAsia="zh-CN"/>
          <w14:textFill>
            <w14:solidFill>
              <w14:schemeClr w14:val="tx1"/>
            </w14:solidFill>
          </w14:textFill>
        </w:rPr>
        <w:t>负责</w:t>
      </w:r>
      <w:r>
        <w:rPr>
          <w:rFonts w:hint="eastAsia" w:ascii="仿宋" w:hAnsi="仿宋" w:eastAsia="仿宋" w:cs="仿宋"/>
          <w:bCs/>
          <w:color w:val="000000" w:themeColor="text1"/>
          <w:sz w:val="24"/>
          <w14:textFill>
            <w14:solidFill>
              <w14:schemeClr w14:val="tx1"/>
            </w14:solidFill>
          </w14:textFill>
        </w:rPr>
        <w:t>为本合同项目组成员提供薪酬福利、</w:t>
      </w:r>
      <w:r>
        <w:rPr>
          <w:rFonts w:hint="eastAsia" w:ascii="仿宋" w:hAnsi="仿宋" w:eastAsia="仿宋" w:cs="仿宋"/>
          <w:bCs/>
          <w:color w:val="000000" w:themeColor="text1"/>
          <w:sz w:val="24"/>
          <w:lang w:val="en-US" w:eastAsia="zh-CN"/>
          <w14:textFill>
            <w14:solidFill>
              <w14:schemeClr w14:val="tx1"/>
            </w14:solidFill>
          </w14:textFill>
        </w:rPr>
        <w:t>社会保险、</w:t>
      </w:r>
      <w:r>
        <w:rPr>
          <w:rFonts w:hint="eastAsia" w:ascii="仿宋" w:hAnsi="仿宋" w:eastAsia="仿宋" w:cs="仿宋"/>
          <w:bCs/>
          <w:color w:val="000000" w:themeColor="text1"/>
          <w:sz w:val="24"/>
          <w14:textFill>
            <w14:solidFill>
              <w14:schemeClr w14:val="tx1"/>
            </w14:solidFill>
          </w14:textFill>
        </w:rPr>
        <w:t>激励机制、绩效考核、人才培养和岗位晋升机制，建设优质团队</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所有的</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成员的用工关系与</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建立，相应的用工责任由</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承担；</w:t>
      </w:r>
    </w:p>
    <w:p w14:paraId="382E3C4F">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14:paraId="0BFB69AC">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14:paraId="65D93591">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14:paraId="527E66D8">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14:paraId="62929624">
      <w:pPr>
        <w:pStyle w:val="4"/>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14:paraId="759432D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14:paraId="7F38759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14:paraId="21DDE738">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14:paraId="6EB0EC37">
      <w:pPr>
        <w:pStyle w:val="4"/>
        <w:spacing w:line="360" w:lineRule="auto"/>
        <w:rPr>
          <w:rFonts w:ascii="仿宋" w:hAnsi="仿宋" w:eastAsia="仿宋" w:cs="仿宋"/>
          <w:color w:val="000000" w:themeColor="text1"/>
          <w:kern w:val="0"/>
          <w:sz w:val="24"/>
          <w14:textFill>
            <w14:solidFill>
              <w14:schemeClr w14:val="tx1"/>
            </w14:solidFill>
          </w14:textFill>
        </w:rPr>
      </w:pPr>
      <w:bookmarkStart w:id="8"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8"/>
      <w:r>
        <w:rPr>
          <w:rFonts w:hint="eastAsia" w:ascii="仿宋" w:hAnsi="仿宋" w:eastAsia="仿宋" w:cs="仿宋"/>
          <w:color w:val="000000" w:themeColor="text1"/>
          <w:kern w:val="0"/>
          <w:sz w:val="24"/>
          <w14:textFill>
            <w14:solidFill>
              <w14:schemeClr w14:val="tx1"/>
            </w14:solidFill>
          </w14:textFill>
        </w:rPr>
        <w:t>及声明</w:t>
      </w:r>
    </w:p>
    <w:p w14:paraId="6E200A80">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14:paraId="070F9E7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14:paraId="2963C5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auto"/>
    <w:pitch w:val="default"/>
    <w:sig w:usb0="00000000" w:usb1="00000000" w:usb2="00000009" w:usb3="00000000" w:csb0="200001FF"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仿宋_GB2312">
    <w:altName w:val="方正仿宋_GBK"/>
    <w:panose1 w:val="02010609030001010101"/>
    <w:charset w:val="86"/>
    <w:family w:val="auto"/>
    <w:pitch w:val="default"/>
    <w:sig w:usb0="00000000" w:usb1="00000000" w:usb2="00000000" w:usb3="00000000" w:csb0="00040000"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F707"/>
    <w:multiLevelType w:val="multilevel"/>
    <w:tmpl w:val="DFFEF707"/>
    <w:lvl w:ilvl="0" w:tentative="0">
      <w:start w:val="1"/>
      <w:numFmt w:val="decimal"/>
      <w:lvlText w:val="%1."/>
      <w:lvlJc w:val="left"/>
      <w:pPr>
        <w:tabs>
          <w:tab w:val="left" w:pos="420"/>
        </w:tabs>
        <w:ind w:left="84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DAC762D"/>
    <w:multiLevelType w:val="multilevel"/>
    <w:tmpl w:val="4DAC762D"/>
    <w:lvl w:ilvl="0" w:tentative="0">
      <w:start w:val="1"/>
      <w:numFmt w:val="chineseCountingThousand"/>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F2C70B3"/>
    <w:multiLevelType w:val="singleLevel"/>
    <w:tmpl w:val="6F2C70B3"/>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630B2"/>
    <w:rsid w:val="13EFB131"/>
    <w:rsid w:val="1BFF0362"/>
    <w:rsid w:val="1D77D285"/>
    <w:rsid w:val="2B8F868F"/>
    <w:rsid w:val="2BEF4376"/>
    <w:rsid w:val="2EEF6D61"/>
    <w:rsid w:val="2FBB07CD"/>
    <w:rsid w:val="33132E0A"/>
    <w:rsid w:val="36B5229B"/>
    <w:rsid w:val="37B05B20"/>
    <w:rsid w:val="37F7F98F"/>
    <w:rsid w:val="3D7B9712"/>
    <w:rsid w:val="3F3C3068"/>
    <w:rsid w:val="3FFB9EF9"/>
    <w:rsid w:val="42457532"/>
    <w:rsid w:val="49D67A91"/>
    <w:rsid w:val="4BE6C098"/>
    <w:rsid w:val="4E6B1713"/>
    <w:rsid w:val="4E72345B"/>
    <w:rsid w:val="4EFBBD87"/>
    <w:rsid w:val="4F780C76"/>
    <w:rsid w:val="53DD464A"/>
    <w:rsid w:val="55B7F66C"/>
    <w:rsid w:val="55FDBCA6"/>
    <w:rsid w:val="56F76700"/>
    <w:rsid w:val="57F7148C"/>
    <w:rsid w:val="59334273"/>
    <w:rsid w:val="5BF691EF"/>
    <w:rsid w:val="5C89310F"/>
    <w:rsid w:val="5D7CF9C1"/>
    <w:rsid w:val="5DE75526"/>
    <w:rsid w:val="5EDEDAA8"/>
    <w:rsid w:val="65FB0E10"/>
    <w:rsid w:val="66E649B8"/>
    <w:rsid w:val="67EF5FF5"/>
    <w:rsid w:val="6A7B53D7"/>
    <w:rsid w:val="6B8D8C3D"/>
    <w:rsid w:val="6FB58528"/>
    <w:rsid w:val="6FFF9A32"/>
    <w:rsid w:val="72251502"/>
    <w:rsid w:val="7397B39C"/>
    <w:rsid w:val="76B8AE22"/>
    <w:rsid w:val="772D7394"/>
    <w:rsid w:val="77DF6F7B"/>
    <w:rsid w:val="77E54117"/>
    <w:rsid w:val="7AF74B15"/>
    <w:rsid w:val="7B8E5679"/>
    <w:rsid w:val="7BFB471B"/>
    <w:rsid w:val="7D5D772A"/>
    <w:rsid w:val="7D5F9279"/>
    <w:rsid w:val="7DB72344"/>
    <w:rsid w:val="7E7985DC"/>
    <w:rsid w:val="7EFF46C5"/>
    <w:rsid w:val="7F2110E6"/>
    <w:rsid w:val="7FA7B96F"/>
    <w:rsid w:val="7FF80464"/>
    <w:rsid w:val="7FFDFBF3"/>
    <w:rsid w:val="9FF56593"/>
    <w:rsid w:val="A67BF46F"/>
    <w:rsid w:val="AAAAD9E6"/>
    <w:rsid w:val="AFA51E5A"/>
    <w:rsid w:val="AFFD3CEC"/>
    <w:rsid w:val="BB7F3A68"/>
    <w:rsid w:val="BC6BB835"/>
    <w:rsid w:val="BFDFD7AD"/>
    <w:rsid w:val="C6A673D4"/>
    <w:rsid w:val="CB9D0114"/>
    <w:rsid w:val="CFAD8908"/>
    <w:rsid w:val="D7DDA9BD"/>
    <w:rsid w:val="D97FB5E8"/>
    <w:rsid w:val="D98A2FEA"/>
    <w:rsid w:val="D9D7FB71"/>
    <w:rsid w:val="DB4B0078"/>
    <w:rsid w:val="DBEC2E67"/>
    <w:rsid w:val="DD7D52B7"/>
    <w:rsid w:val="DE7BDE16"/>
    <w:rsid w:val="DF6B5A75"/>
    <w:rsid w:val="EB7B6A1C"/>
    <w:rsid w:val="EDBB1463"/>
    <w:rsid w:val="EFFFF0E2"/>
    <w:rsid w:val="F37FCE82"/>
    <w:rsid w:val="F3972BD1"/>
    <w:rsid w:val="F3BB0F9B"/>
    <w:rsid w:val="F3D9BEDD"/>
    <w:rsid w:val="F3FBBF88"/>
    <w:rsid w:val="F7FAAB7A"/>
    <w:rsid w:val="F8BD5272"/>
    <w:rsid w:val="FB2BF13F"/>
    <w:rsid w:val="FB71C6F4"/>
    <w:rsid w:val="FB7D247D"/>
    <w:rsid w:val="FBB91910"/>
    <w:rsid w:val="FBBAE661"/>
    <w:rsid w:val="FBDB3E89"/>
    <w:rsid w:val="FBF8896A"/>
    <w:rsid w:val="FDBD3E10"/>
    <w:rsid w:val="FDF764A9"/>
    <w:rsid w:val="FE7DF290"/>
    <w:rsid w:val="FEBE6A6C"/>
    <w:rsid w:val="FECD9572"/>
    <w:rsid w:val="FEEE39B2"/>
    <w:rsid w:val="FEEF4307"/>
    <w:rsid w:val="FFDF7BAA"/>
    <w:rsid w:val="FFFA1AF7"/>
    <w:rsid w:val="FFFAF981"/>
    <w:rsid w:val="FFFDB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节"/>
    <w:basedOn w:val="3"/>
    <w:qFormat/>
    <w:uiPriority w:val="0"/>
    <w:pPr>
      <w:spacing w:line="240" w:lineRule="auto"/>
    </w:pPr>
    <w:rPr>
      <w:rFonts w:ascii="黑体"/>
      <w:szCs w:val="28"/>
    </w:rPr>
  </w:style>
  <w:style w:type="character" w:customStyle="1" w:styleId="13">
    <w:name w:val="font31"/>
    <w:basedOn w:val="10"/>
    <w:qFormat/>
    <w:uiPriority w:val="0"/>
    <w:rPr>
      <w:rFonts w:hint="eastAsia" w:ascii="微软雅黑" w:hAnsi="微软雅黑" w:eastAsia="微软雅黑" w:cs="微软雅黑"/>
      <w:color w:val="000000"/>
      <w:sz w:val="20"/>
      <w:szCs w:val="20"/>
      <w:u w:val="none"/>
    </w:rPr>
  </w:style>
  <w:style w:type="character" w:customStyle="1" w:styleId="14">
    <w:name w:val="font01"/>
    <w:basedOn w:val="10"/>
    <w:qFormat/>
    <w:uiPriority w:val="0"/>
    <w:rPr>
      <w:rFonts w:hint="eastAsia" w:ascii="宋体" w:hAnsi="宋体" w:eastAsia="宋体" w:cs="宋体"/>
      <w:color w:val="000000"/>
      <w:sz w:val="20"/>
      <w:szCs w:val="20"/>
      <w:u w:val="none"/>
    </w:rPr>
  </w:style>
  <w:style w:type="character" w:customStyle="1" w:styleId="15">
    <w:name w:val="font41"/>
    <w:basedOn w:val="1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2023-05-21T08:35:00Z</dcterms:created>
  <dc:creator>Pam</dc:creator>
  <cp:lastModifiedBy>随便起个名字把</cp:lastModifiedBy>
  <dcterms:modified xsi:type="dcterms:W3CDTF">2025-11-17T11:01:56Z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83351863114EEC5E24901A69F59D8253_43</vt:lpwstr>
  </property>
</Properties>
</file>