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6C144">
      <w:pPr>
        <w:spacing w:line="360" w:lineRule="auto"/>
        <w:ind w:firstLine="560"/>
        <w:rPr>
          <w:rFonts w:hint="eastAsia" w:ascii="仿宋_GB2312" w:hAnsi="仿宋_GB2312" w:eastAsia="仿宋_GB2312" w:cs="仿宋_GB2312"/>
          <w:sz w:val="44"/>
          <w:szCs w:val="44"/>
        </w:rPr>
      </w:pPr>
    </w:p>
    <w:p w14:paraId="5E009F4D">
      <w:pPr>
        <w:spacing w:line="360" w:lineRule="auto"/>
        <w:ind w:firstLine="560"/>
        <w:rPr>
          <w:rFonts w:hint="eastAsia" w:ascii="仿宋_GB2312" w:hAnsi="仿宋_GB2312" w:eastAsia="仿宋_GB2312" w:cs="仿宋_GB2312"/>
          <w:b/>
          <w:sz w:val="40"/>
          <w:szCs w:val="40"/>
          <w:u w:val="single"/>
        </w:rPr>
      </w:pPr>
    </w:p>
    <w:p w14:paraId="3057221B">
      <w:pPr>
        <w:pStyle w:val="3"/>
        <w:numPr>
          <w:ilvl w:val="0"/>
          <w:numId w:val="0"/>
        </w:numPr>
        <w:bidi w:val="0"/>
        <w:ind w:leftChars="0"/>
        <w:jc w:val="both"/>
        <w:rPr>
          <w:highlight w:val="none"/>
        </w:rPr>
      </w:pPr>
      <w:bookmarkStart w:id="0" w:name="_Toc135749939"/>
      <w:bookmarkStart w:id="1" w:name="_Toc27082"/>
      <w:bookmarkStart w:id="2" w:name="_Toc25646"/>
      <w:bookmarkStart w:id="3" w:name="_Toc8261"/>
      <w:bookmarkStart w:id="4" w:name="_Toc27281"/>
      <w:bookmarkStart w:id="5" w:name="_Toc127192856"/>
      <w:r>
        <w:rPr>
          <w:highlight w:val="none"/>
        </w:rPr>
        <w:t>应答文件格式</w:t>
      </w:r>
      <w:bookmarkEnd w:id="0"/>
      <w:bookmarkEnd w:id="1"/>
      <w:bookmarkEnd w:id="2"/>
      <w:bookmarkEnd w:id="3"/>
      <w:bookmarkEnd w:id="4"/>
      <w:bookmarkEnd w:id="5"/>
    </w:p>
    <w:p w14:paraId="7FFAA330">
      <w:pPr>
        <w:pStyle w:val="2"/>
        <w:rPr>
          <w:highlight w:val="none"/>
        </w:rPr>
      </w:pPr>
    </w:p>
    <w:p w14:paraId="11C66210">
      <w:pPr>
        <w:pStyle w:val="2"/>
        <w:rPr>
          <w:rFonts w:hint="eastAsia" w:ascii="仿宋_GB2312" w:hAnsi="仿宋_GB2312" w:eastAsia="仿宋_GB2312" w:cs="仿宋_GB2312"/>
          <w:b/>
          <w:bCs/>
          <w:color w:val="000000"/>
          <w:kern w:val="2"/>
          <w:sz w:val="40"/>
          <w:szCs w:val="40"/>
          <w:highlight w:val="none"/>
          <w:lang w:val="en-US" w:eastAsia="zh-CN" w:bidi="ar-SA"/>
        </w:rPr>
      </w:pPr>
    </w:p>
    <w:p w14:paraId="220A2E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咪咕音乐2025年成都媒体宣推定制化服务</w:t>
      </w:r>
    </w:p>
    <w:p w14:paraId="4A80632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asciiTheme="minorHAnsi" w:hAnsiTheme="minorHAnsi"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支撑方招募</w:t>
      </w:r>
    </w:p>
    <w:p w14:paraId="4D0CC11C">
      <w:pPr>
        <w:pStyle w:val="9"/>
        <w:numPr>
          <w:ilvl w:val="5"/>
          <w:numId w:val="0"/>
        </w:numPr>
        <w:bidi w:val="0"/>
        <w:ind w:left="402" w:leftChars="0"/>
        <w:rPr>
          <w:highlight w:val="none"/>
        </w:rPr>
      </w:pPr>
    </w:p>
    <w:p w14:paraId="75A7DD9F"/>
    <w:p w14:paraId="5AF78DC9">
      <w:pPr>
        <w:rPr>
          <w:highlight w:val="none"/>
        </w:rPr>
      </w:pPr>
    </w:p>
    <w:p w14:paraId="3BF166FF">
      <w:pPr>
        <w:pStyle w:val="2"/>
        <w:rPr>
          <w:highlight w:val="none"/>
        </w:rPr>
      </w:pPr>
    </w:p>
    <w:p w14:paraId="436677F5">
      <w:pPr>
        <w:wordWrap w:val="0"/>
        <w:adjustRightInd w:val="0"/>
        <w:snapToGrid w:val="0"/>
        <w:spacing w:line="360" w:lineRule="auto"/>
        <w:jc w:val="center"/>
        <w:outlineLvl w:val="0"/>
        <w:rPr>
          <w:rFonts w:hint="default" w:ascii="宋体" w:hAnsi="宋体" w:cs="Arial" w:eastAsiaTheme="minorEastAsia"/>
          <w:sz w:val="36"/>
          <w:szCs w:val="36"/>
          <w:highlight w:val="none"/>
          <w:lang w:val="en-US" w:eastAsia="zh-CN"/>
        </w:rPr>
      </w:pPr>
      <w:bookmarkStart w:id="6" w:name="_Toc8692"/>
      <w:bookmarkStart w:id="7" w:name="_Toc23287"/>
      <w:r>
        <w:rPr>
          <w:rFonts w:hint="eastAsia" w:ascii="宋体" w:hAnsi="宋体" w:cs="Arial"/>
          <w:sz w:val="36"/>
          <w:szCs w:val="36"/>
          <w:highlight w:val="none"/>
          <w:lang w:val="en-US" w:eastAsia="zh-CN"/>
        </w:rPr>
        <w:t>应答文件</w:t>
      </w:r>
      <w:bookmarkEnd w:id="6"/>
      <w:bookmarkEnd w:id="7"/>
    </w:p>
    <w:p w14:paraId="4814D859">
      <w:pPr>
        <w:wordWrap w:val="0"/>
        <w:adjustRightInd w:val="0"/>
        <w:snapToGrid w:val="0"/>
        <w:spacing w:line="360" w:lineRule="auto"/>
        <w:jc w:val="center"/>
        <w:rPr>
          <w:rFonts w:ascii="宋体" w:hAnsi="宋体" w:cs="Arial"/>
          <w:sz w:val="36"/>
          <w:szCs w:val="36"/>
          <w:highlight w:val="none"/>
        </w:rPr>
      </w:pPr>
    </w:p>
    <w:p w14:paraId="1FA570B2">
      <w:pPr>
        <w:wordWrap w:val="0"/>
        <w:adjustRightInd w:val="0"/>
        <w:snapToGrid w:val="0"/>
        <w:spacing w:line="360" w:lineRule="auto"/>
        <w:rPr>
          <w:rFonts w:ascii="宋体" w:hAnsi="宋体"/>
          <w:sz w:val="36"/>
          <w:szCs w:val="36"/>
          <w:highlight w:val="none"/>
        </w:rPr>
      </w:pPr>
    </w:p>
    <w:p w14:paraId="3A4F4DBE">
      <w:pPr>
        <w:wordWrap w:val="0"/>
        <w:adjustRightInd w:val="0"/>
        <w:snapToGrid w:val="0"/>
        <w:spacing w:line="360" w:lineRule="auto"/>
        <w:rPr>
          <w:rFonts w:ascii="宋体" w:hAnsi="宋体"/>
          <w:sz w:val="36"/>
          <w:szCs w:val="36"/>
          <w:highlight w:val="none"/>
        </w:rPr>
      </w:pPr>
    </w:p>
    <w:p w14:paraId="1DBDF9E3">
      <w:pPr>
        <w:wordWrap w:val="0"/>
        <w:adjustRightInd w:val="0"/>
        <w:snapToGrid w:val="0"/>
        <w:spacing w:line="360" w:lineRule="auto"/>
        <w:ind w:firstLine="1270" w:firstLineChars="353"/>
        <w:rPr>
          <w:rFonts w:ascii="宋体" w:hAnsi="宋体"/>
          <w:sz w:val="36"/>
          <w:szCs w:val="36"/>
          <w:highlight w:val="none"/>
        </w:rPr>
      </w:pPr>
    </w:p>
    <w:p w14:paraId="3FC5248D">
      <w:pPr>
        <w:wordWrap w:val="0"/>
        <w:adjustRightInd w:val="0"/>
        <w:snapToGrid w:val="0"/>
        <w:spacing w:line="360" w:lineRule="auto"/>
        <w:ind w:firstLine="1270" w:firstLineChars="353"/>
        <w:rPr>
          <w:rFonts w:ascii="宋体" w:hAnsi="宋体"/>
          <w:sz w:val="36"/>
          <w:szCs w:val="36"/>
          <w:highlight w:val="none"/>
        </w:rPr>
      </w:pPr>
    </w:p>
    <w:p w14:paraId="36F50BA5">
      <w:pPr>
        <w:wordWrap w:val="0"/>
        <w:adjustRightInd w:val="0"/>
        <w:snapToGrid w:val="0"/>
        <w:spacing w:line="360" w:lineRule="auto"/>
        <w:ind w:firstLine="1270" w:firstLineChars="353"/>
        <w:rPr>
          <w:rFonts w:ascii="宋体" w:hAnsi="宋体"/>
          <w:sz w:val="36"/>
          <w:szCs w:val="36"/>
          <w:highlight w:val="none"/>
        </w:rPr>
      </w:pPr>
    </w:p>
    <w:p w14:paraId="2DFF54A7">
      <w:pPr>
        <w:wordWrap w:val="0"/>
        <w:adjustRightInd w:val="0"/>
        <w:snapToGrid w:val="0"/>
        <w:spacing w:line="360" w:lineRule="auto"/>
        <w:jc w:val="center"/>
        <w:outlineLvl w:val="0"/>
        <w:rPr>
          <w:rFonts w:hint="eastAsia" w:ascii="宋体" w:hAnsi="宋体"/>
          <w:sz w:val="30"/>
          <w:szCs w:val="30"/>
          <w:highlight w:val="none"/>
          <w:u w:val="none"/>
          <w:lang w:val="en-US" w:eastAsia="zh-CN"/>
        </w:rPr>
      </w:pPr>
      <w:bookmarkStart w:id="8" w:name="_Toc12160"/>
      <w:bookmarkStart w:id="9" w:name="_Toc9749"/>
      <w:r>
        <w:rPr>
          <w:rFonts w:hint="eastAsia" w:ascii="宋体" w:hAnsi="宋体"/>
          <w:sz w:val="30"/>
          <w:szCs w:val="30"/>
          <w:highlight w:val="none"/>
        </w:rPr>
        <w:t>应答人名称</w:t>
      </w:r>
      <w:r>
        <w:rPr>
          <w:rFonts w:hint="eastAsia" w:ascii="宋体" w:hAnsi="宋体"/>
          <w:sz w:val="30"/>
          <w:szCs w:val="30"/>
          <w:highlight w:val="none"/>
          <w:lang w:eastAsia="zh-CN"/>
        </w:rPr>
        <w:t>：</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none"/>
          <w:lang w:val="en-US" w:eastAsia="zh-CN"/>
        </w:rPr>
        <w:t>（需盖公章）</w:t>
      </w:r>
      <w:bookmarkEnd w:id="8"/>
      <w:bookmarkEnd w:id="9"/>
    </w:p>
    <w:p w14:paraId="3EA6AC3C">
      <w:pPr>
        <w:pStyle w:val="2"/>
        <w:rPr>
          <w:rFonts w:hint="default"/>
          <w:highlight w:val="none"/>
          <w:lang w:val="en-US" w:eastAsia="zh-CN"/>
        </w:rPr>
      </w:pPr>
    </w:p>
    <w:p w14:paraId="2FDBD26A">
      <w:pPr>
        <w:wordWrap w:val="0"/>
        <w:adjustRightInd w:val="0"/>
        <w:snapToGrid w:val="0"/>
        <w:spacing w:line="360" w:lineRule="auto"/>
        <w:jc w:val="center"/>
        <w:outlineLvl w:val="0"/>
        <w:rPr>
          <w:rFonts w:ascii="宋体" w:hAnsi="宋体"/>
          <w:sz w:val="30"/>
          <w:szCs w:val="30"/>
          <w:highlight w:val="none"/>
        </w:rPr>
      </w:pPr>
      <w:bookmarkStart w:id="10" w:name="_Toc4433"/>
      <w:bookmarkStart w:id="11" w:name="_Toc7715"/>
      <w:r>
        <w:rPr>
          <w:rFonts w:hint="eastAsia" w:ascii="宋体" w:hAnsi="宋体"/>
          <w:sz w:val="30"/>
          <w:szCs w:val="30"/>
          <w:highlight w:val="none"/>
          <w:lang w:val="en-US" w:eastAsia="zh-CN"/>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10"/>
      <w:bookmarkEnd w:id="11"/>
    </w:p>
    <w:p w14:paraId="00E1F8F5">
      <w:pPr>
        <w:rPr>
          <w:rFonts w:hint="eastAsia"/>
          <w:highlight w:val="none"/>
          <w:lang w:val="en-US" w:eastAsia="zh-CN"/>
        </w:rPr>
      </w:pPr>
    </w:p>
    <w:p w14:paraId="2E023D32">
      <w:pPr>
        <w:pStyle w:val="3"/>
        <w:bidi w:val="0"/>
        <w:rPr>
          <w:rFonts w:hint="eastAsia"/>
          <w:highlight w:val="none"/>
        </w:rPr>
      </w:pPr>
      <w:bookmarkStart w:id="12" w:name="_Toc32726"/>
      <w:bookmarkStart w:id="13" w:name="_Toc18732"/>
      <w:r>
        <w:rPr>
          <w:rFonts w:hint="eastAsia"/>
          <w:highlight w:val="none"/>
          <w:lang w:val="en-US" w:eastAsia="zh-CN"/>
        </w:rPr>
        <w:t>资质要求（</w:t>
      </w:r>
      <w:r>
        <w:rPr>
          <w:rFonts w:hint="eastAsia"/>
          <w:highlight w:val="none"/>
        </w:rPr>
        <w:t>证明文件</w:t>
      </w:r>
      <w:r>
        <w:rPr>
          <w:rFonts w:hint="eastAsia"/>
          <w:highlight w:val="none"/>
          <w:lang w:val="en-US" w:eastAsia="zh-CN"/>
        </w:rPr>
        <w:t>）</w:t>
      </w:r>
      <w:bookmarkEnd w:id="12"/>
      <w:bookmarkEnd w:id="13"/>
    </w:p>
    <w:p w14:paraId="3FAE7F6E">
      <w:pPr>
        <w:spacing w:line="440" w:lineRule="exact"/>
        <w:ind w:firstLine="352" w:firstLineChars="147"/>
        <w:rPr>
          <w:rFonts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14:paraId="2D975C3C">
      <w:pPr>
        <w:pStyle w:val="4"/>
        <w:bidi w:val="0"/>
        <w:rPr>
          <w:rFonts w:hint="eastAsia"/>
          <w:color w:val="auto"/>
          <w:highlight w:val="none"/>
          <w:lang w:val="en-US" w:eastAsia="zh-CN"/>
        </w:rPr>
      </w:pPr>
      <w:bookmarkStart w:id="14" w:name="_Toc13702"/>
      <w:r>
        <w:rPr>
          <w:rFonts w:hint="eastAsia"/>
          <w:color w:val="auto"/>
          <w:highlight w:val="none"/>
          <w:lang w:val="en-US" w:eastAsia="zh-CN"/>
        </w:rPr>
        <w:t>营业执照、组织机构代码证、税务登记证</w:t>
      </w:r>
      <w:bookmarkEnd w:id="14"/>
      <w:r>
        <w:rPr>
          <w:rFonts w:hint="eastAsia"/>
          <w:color w:val="auto"/>
          <w:highlight w:val="none"/>
          <w:lang w:val="en-US" w:eastAsia="zh-CN"/>
        </w:rPr>
        <w:t>；银行开户许可证（或基本存款账户信息）</w:t>
      </w:r>
    </w:p>
    <w:p w14:paraId="3AC91385">
      <w:pPr>
        <w:numPr>
          <w:ilvl w:val="0"/>
          <w:numId w:val="3"/>
        </w:numPr>
        <w:bidi w:val="0"/>
        <w:ind w:left="425" w:leftChars="0" w:hanging="425" w:firstLineChars="0"/>
        <w:jc w:val="left"/>
        <w:rPr>
          <w:rFonts w:hint="eastAsia"/>
          <w:sz w:val="28"/>
          <w:szCs w:val="28"/>
          <w:highlight w:val="none"/>
          <w:lang w:val="en-US" w:eastAsia="zh-CN"/>
        </w:rPr>
      </w:pPr>
      <w:r>
        <w:rPr>
          <w:rFonts w:hint="eastAsia"/>
          <w:sz w:val="28"/>
          <w:szCs w:val="28"/>
          <w:highlight w:val="none"/>
          <w:lang w:val="en-US" w:eastAsia="zh-CN"/>
        </w:rPr>
        <w:t>应答人</w:t>
      </w:r>
      <w:r>
        <w:rPr>
          <w:rFonts w:hint="eastAsia"/>
          <w:b/>
          <w:bCs/>
          <w:color w:val="auto"/>
          <w:sz w:val="28"/>
          <w:szCs w:val="28"/>
          <w:highlight w:val="none"/>
          <w:lang w:val="en-US" w:eastAsia="zh-CN"/>
        </w:rPr>
        <w:t>提供有效期内的营业执照、组织机构代码证、税务登记证扫描件。</w:t>
      </w:r>
      <w:r>
        <w:rPr>
          <w:rFonts w:hint="eastAsia"/>
          <w:sz w:val="28"/>
          <w:szCs w:val="28"/>
          <w:highlight w:val="none"/>
          <w:lang w:val="en-US" w:eastAsia="zh-CN"/>
        </w:rPr>
        <w:t>对于已完成“三证合一”登记制度改革的，须提供合法的营业执照扫描件。</w:t>
      </w:r>
    </w:p>
    <w:p w14:paraId="6D8F1754">
      <w:pPr>
        <w:numPr>
          <w:ilvl w:val="0"/>
          <w:numId w:val="3"/>
        </w:numPr>
        <w:ind w:left="425" w:leftChars="0" w:hanging="425" w:firstLineChars="0"/>
        <w:rPr>
          <w:rFonts w:hint="default"/>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highlight w:val="none"/>
          <w:lang w:val="en-US" w:eastAsia="zh-CN"/>
        </w:rPr>
        <w:t>应答人</w:t>
      </w:r>
      <w:r>
        <w:rPr>
          <w:rFonts w:hint="eastAsia"/>
          <w:b/>
          <w:bCs/>
          <w:color w:val="auto"/>
          <w:sz w:val="28"/>
          <w:szCs w:val="28"/>
          <w:highlight w:val="none"/>
          <w:lang w:val="en-US" w:eastAsia="zh-CN"/>
        </w:rPr>
        <w:t>提供有效的银行开户许可证（或基本存</w:t>
      </w:r>
      <w:bookmarkStart w:id="34" w:name="_GoBack"/>
      <w:bookmarkEnd w:id="34"/>
      <w:r>
        <w:rPr>
          <w:rFonts w:hint="eastAsia"/>
          <w:b/>
          <w:bCs/>
          <w:color w:val="auto"/>
          <w:sz w:val="28"/>
          <w:szCs w:val="28"/>
          <w:highlight w:val="none"/>
          <w:lang w:val="en-US" w:eastAsia="zh-CN"/>
        </w:rPr>
        <w:t>款账户信息）。</w:t>
      </w:r>
    </w:p>
    <w:p w14:paraId="2D0069F1">
      <w:pPr>
        <w:pStyle w:val="4"/>
        <w:bidi w:val="0"/>
        <w:rPr>
          <w:rFonts w:hint="eastAsia"/>
          <w:highlight w:val="none"/>
          <w:lang w:val="en-US" w:eastAsia="zh-CN"/>
        </w:rPr>
      </w:pPr>
      <w:r>
        <w:rPr>
          <w:rFonts w:hint="eastAsia"/>
          <w:highlight w:val="none"/>
          <w:lang w:val="en-US" w:eastAsia="zh-CN"/>
        </w:rPr>
        <w:t>增值税专用发票承诺</w:t>
      </w:r>
    </w:p>
    <w:p w14:paraId="72036DC2">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p w14:paraId="60B91384">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14:paraId="788D799B">
      <w:pPr>
        <w:pStyle w:val="39"/>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4CB167F8">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14:paraId="10AAEFB0">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14:paraId="57749AF5">
      <w:pPr>
        <w:pStyle w:val="2"/>
        <w:numPr>
          <w:ilvl w:val="0"/>
          <w:numId w:val="0"/>
        </w:numPr>
        <w:rPr>
          <w:rFonts w:hint="eastAsia" w:ascii="宋体" w:hAnsi="宋体" w:eastAsia="宋体" w:cs="宋体"/>
          <w:sz w:val="24"/>
          <w:szCs w:val="24"/>
          <w:highlight w:val="none"/>
        </w:rPr>
      </w:pPr>
    </w:p>
    <w:p w14:paraId="09D880F2">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69BD9037">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46483044">
      <w:pPr>
        <w:pStyle w:val="34"/>
        <w:ind w:left="0" w:leftChars="0" w:firstLine="0" w:firstLineChars="0"/>
        <w:jc w:val="distribute"/>
        <w:rPr>
          <w:rFonts w:hint="eastAsia"/>
          <w:sz w:val="24"/>
          <w:szCs w:val="24"/>
          <w:highlight w:val="none"/>
        </w:rPr>
      </w:pPr>
      <w:r>
        <w:rPr>
          <w:rFonts w:hint="eastAsia" w:ascii="宋体" w:hAnsi="宋体" w:eastAsia="宋体" w:cs="宋体"/>
          <w:b w:val="0"/>
          <w:color w:val="auto"/>
          <w:kern w:val="2"/>
          <w:sz w:val="24"/>
          <w:szCs w:val="24"/>
          <w:highlight w:val="none"/>
          <w:lang w:val="en-US" w:eastAsia="zh-CN"/>
        </w:rPr>
        <w:t xml:space="preserve">                                 </w:t>
      </w:r>
    </w:p>
    <w:p w14:paraId="64D24885">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10C1E2EF">
      <w:pPr>
        <w:pStyle w:val="34"/>
        <w:ind w:left="360"/>
        <w:jc w:val="right"/>
        <w:rPr>
          <w:sz w:val="24"/>
          <w:szCs w:val="24"/>
          <w:highlight w:val="none"/>
        </w:rPr>
      </w:pPr>
      <w:r>
        <w:rPr>
          <w:sz w:val="24"/>
          <w:szCs w:val="24"/>
          <w:highlight w:val="none"/>
        </w:rPr>
        <w:t xml:space="preserve">          </w:t>
      </w:r>
    </w:p>
    <w:p w14:paraId="1066E963">
      <w:pPr>
        <w:pStyle w:val="34"/>
        <w:ind w:left="360" w:right="21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74276288">
      <w:pPr>
        <w:pStyle w:val="2"/>
        <w:jc w:val="left"/>
        <w:rPr>
          <w:rFonts w:hint="eastAsia"/>
          <w:highlight w:val="none"/>
          <w:lang w:val="en-US" w:eastAsia="zh-CN"/>
        </w:rPr>
      </w:pPr>
    </w:p>
    <w:p w14:paraId="09206378">
      <w:pPr>
        <w:rPr>
          <w:rFonts w:hint="eastAsia"/>
          <w:highlight w:val="none"/>
          <w:lang w:val="en-US" w:eastAsia="zh-CN"/>
        </w:rPr>
      </w:pPr>
      <w:bookmarkStart w:id="15" w:name="_Toc9381"/>
      <w:r>
        <w:rPr>
          <w:rFonts w:hint="eastAsia"/>
          <w:highlight w:val="none"/>
          <w:lang w:val="en-US" w:eastAsia="zh-CN"/>
        </w:rPr>
        <w:br w:type="page"/>
      </w:r>
    </w:p>
    <w:p w14:paraId="2721704D">
      <w:pPr>
        <w:pStyle w:val="4"/>
        <w:bidi w:val="0"/>
        <w:rPr>
          <w:rFonts w:hint="eastAsia"/>
          <w:highlight w:val="none"/>
          <w:lang w:val="en-US" w:eastAsia="zh-CN"/>
        </w:rPr>
      </w:pPr>
      <w:r>
        <w:rPr>
          <w:rFonts w:hint="eastAsia"/>
          <w:highlight w:val="none"/>
          <w:lang w:val="en-US" w:eastAsia="zh-CN"/>
        </w:rPr>
        <w:t>未列入</w:t>
      </w:r>
      <w:bookmarkEnd w:id="15"/>
      <w:r>
        <w:rPr>
          <w:rFonts w:hint="eastAsia"/>
          <w:highlight w:val="none"/>
          <w:lang w:val="en-US" w:eastAsia="zh-CN"/>
        </w:rPr>
        <w:t>未被纳入国家企业信用信息公示系统的严重违法失信企业名单。未被纳入国家企业信用信息公示系统的经营异常名录。未列入咪咕公司不良信用名单。</w:t>
      </w:r>
    </w:p>
    <w:p w14:paraId="43433CF1">
      <w:pPr>
        <w:bidi w:val="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应答人在国家企业信用信息公示系统中未被查询到有严重违法失信信息</w:t>
      </w:r>
      <w:r>
        <w:rPr>
          <w:rFonts w:hint="eastAsia" w:asciiTheme="minorEastAsia" w:hAnsi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val="en-US" w:eastAsia="zh-CN"/>
        </w:rPr>
        <w:t>未被查询到</w:t>
      </w:r>
      <w:r>
        <w:rPr>
          <w:rFonts w:hint="eastAsia" w:asciiTheme="minorEastAsia" w:hAnsiTheme="minorEastAsia" w:cstheme="minorEastAsia"/>
          <w:sz w:val="32"/>
          <w:szCs w:val="32"/>
          <w:highlight w:val="none"/>
          <w:lang w:val="en-US" w:eastAsia="zh-CN"/>
        </w:rPr>
        <w:t>被纳入经营异常名录</w:t>
      </w:r>
      <w:r>
        <w:rPr>
          <w:rFonts w:hint="eastAsia" w:asciiTheme="minorEastAsia" w:hAnsiTheme="minorEastAsia" w:eastAsiaTheme="minorEastAsia" w:cstheme="minorEastAsia"/>
          <w:sz w:val="32"/>
          <w:szCs w:val="32"/>
          <w:highlight w:val="none"/>
          <w:lang w:val="en-US" w:eastAsia="zh-CN"/>
        </w:rPr>
        <w:t>。</w:t>
      </w:r>
    </w:p>
    <w:p w14:paraId="5DAF8E51">
      <w:pPr>
        <w:pStyle w:val="2"/>
        <w:rPr>
          <w:rFonts w:hint="eastAsia"/>
          <w:highlight w:val="none"/>
          <w:lang w:val="en-US" w:eastAsia="zh-CN"/>
        </w:rPr>
      </w:pPr>
    </w:p>
    <w:tbl>
      <w:tblPr>
        <w:tblStyle w:val="2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309A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8920" w:type="dxa"/>
            <w:vAlign w:val="center"/>
          </w:tcPr>
          <w:p w14:paraId="451435C2">
            <w:pPr>
              <w:pStyle w:val="42"/>
              <w:spacing w:line="300" w:lineRule="auto"/>
              <w:ind w:firstLine="480"/>
              <w:jc w:val="left"/>
              <w:rPr>
                <w:rFonts w:hint="eastAsia" w:ascii="仿宋" w:hAnsi="仿宋" w:eastAsia="仿宋" w:cs="宋体"/>
                <w:color w:val="FF0000"/>
                <w:kern w:val="0"/>
                <w:sz w:val="24"/>
                <w:szCs w:val="24"/>
                <w:highlight w:val="none"/>
                <w:lang w:val="en-US" w:eastAsia="zh-CN"/>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w:t>
            </w:r>
            <w:r>
              <w:rPr>
                <w:rFonts w:hint="eastAsia" w:ascii="仿宋" w:hAnsi="仿宋" w:eastAsia="仿宋" w:cs="宋体"/>
                <w:color w:val="FF0000"/>
                <w:kern w:val="0"/>
                <w:sz w:val="24"/>
                <w:szCs w:val="24"/>
                <w:highlight w:val="none"/>
                <w:lang w:val="en-US" w:eastAsia="zh-CN"/>
              </w:rPr>
              <w:t>;</w:t>
            </w:r>
          </w:p>
          <w:p w14:paraId="0F37A69A">
            <w:pPr>
              <w:pStyle w:val="42"/>
              <w:spacing w:line="300" w:lineRule="auto"/>
              <w:ind w:firstLine="480"/>
              <w:jc w:val="left"/>
              <w:rPr>
                <w:rFonts w:hint="eastAsia" w:ascii="仿宋" w:hAnsi="仿宋" w:eastAsia="仿宋" w:cs="宋体"/>
                <w:kern w:val="0"/>
                <w:sz w:val="24"/>
                <w:szCs w:val="24"/>
                <w:highlight w:val="none"/>
                <w:lang w:val="en-US" w:eastAsia="zh-CN"/>
              </w:rPr>
            </w:pPr>
            <w:r>
              <w:rPr>
                <w:rFonts w:hint="eastAsia" w:ascii="仿宋" w:hAnsi="仿宋" w:eastAsia="仿宋" w:cs="宋体"/>
                <w:color w:val="FF0000"/>
                <w:kern w:val="0"/>
                <w:sz w:val="24"/>
                <w:szCs w:val="24"/>
                <w:highlight w:val="none"/>
              </w:rPr>
              <w:t>或提供</w:t>
            </w:r>
            <w:r>
              <w:rPr>
                <w:rFonts w:hint="eastAsia" w:ascii="仿宋" w:hAnsi="仿宋" w:eastAsia="仿宋" w:cs="宋体"/>
                <w:color w:val="FF0000"/>
                <w:kern w:val="0"/>
                <w:sz w:val="24"/>
                <w:szCs w:val="24"/>
                <w:highlight w:val="none"/>
                <w:lang w:val="en-US" w:eastAsia="zh-CN"/>
              </w:rPr>
              <w:t>未被查询到有严重违法失信信息，未被查询到被纳入经营异常名录</w:t>
            </w:r>
            <w:r>
              <w:rPr>
                <w:rFonts w:hint="eastAsia" w:ascii="仿宋" w:hAnsi="仿宋" w:eastAsia="仿宋" w:cs="宋体"/>
                <w:color w:val="FF0000"/>
                <w:kern w:val="0"/>
                <w:sz w:val="24"/>
                <w:szCs w:val="24"/>
                <w:highlight w:val="none"/>
              </w:rPr>
              <w:t>信息截图）</w:t>
            </w:r>
            <w:r>
              <w:rPr>
                <w:rFonts w:hint="eastAsia" w:ascii="仿宋" w:hAnsi="仿宋" w:eastAsia="仿宋" w:cs="宋体"/>
                <w:color w:val="FF0000"/>
                <w:kern w:val="0"/>
                <w:sz w:val="24"/>
                <w:szCs w:val="24"/>
                <w:highlight w:val="none"/>
                <w:lang w:eastAsia="zh-CN"/>
              </w:rPr>
              <w:t>。</w:t>
            </w:r>
          </w:p>
        </w:tc>
      </w:tr>
    </w:tbl>
    <w:p w14:paraId="0D1953DD">
      <w:pPr>
        <w:pStyle w:val="29"/>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9A2979A">
      <w:pPr>
        <w:pStyle w:val="4"/>
        <w:numPr>
          <w:ilvl w:val="1"/>
          <w:numId w:val="0"/>
        </w:numPr>
        <w:bidi w:val="0"/>
        <w:ind w:leftChars="0"/>
        <w:rPr>
          <w:rFonts w:hint="eastAsia"/>
          <w:highlight w:val="none"/>
          <w:lang w:val="en-US" w:eastAsia="zh-CN"/>
        </w:rPr>
      </w:pPr>
      <w:bookmarkStart w:id="16" w:name="_Toc26235"/>
      <w:r>
        <w:rPr>
          <w:rFonts w:hint="eastAsia"/>
          <w:highlight w:val="none"/>
          <w:lang w:val="en-US" w:eastAsia="zh-CN"/>
        </w:rPr>
        <w:t>（四）信誉承诺书</w:t>
      </w:r>
      <w:bookmarkEnd w:id="16"/>
    </w:p>
    <w:p w14:paraId="1618AF5A">
      <w:pPr>
        <w:pStyle w:val="30"/>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14:paraId="1F721614">
      <w:pPr>
        <w:pStyle w:val="30"/>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60B46D6E">
      <w:pPr>
        <w:pStyle w:val="30"/>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14:paraId="34116A8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14:paraId="64B96C5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14:paraId="2A98A08D">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14:paraId="2B17BF50">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3E8CC1D2">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6B86163D">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1C559207">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713EF9BA">
      <w:pPr>
        <w:wordWrap w:val="0"/>
        <w:adjustRightInd w:val="0"/>
        <w:snapToGrid w:val="0"/>
        <w:spacing w:line="360" w:lineRule="auto"/>
        <w:outlineLvl w:val="9"/>
        <w:rPr>
          <w:rFonts w:hint="eastAsia" w:ascii="宋体" w:hAnsi="宋体" w:eastAsia="宋体" w:cs="宋体"/>
          <w:bCs/>
          <w:color w:val="auto"/>
          <w:sz w:val="24"/>
          <w:szCs w:val="24"/>
          <w:highlight w:val="none"/>
          <w:lang w:eastAsia="zh-CN"/>
        </w:rPr>
      </w:pPr>
    </w:p>
    <w:p w14:paraId="0AD73C49">
      <w:pPr>
        <w:pStyle w:val="34"/>
        <w:ind w:left="0" w:leftChars="0" w:firstLine="0" w:firstLineChars="0"/>
        <w:jc w:val="distribute"/>
        <w:rPr>
          <w:rFonts w:hint="eastAsia"/>
          <w:color w:val="auto"/>
          <w:sz w:val="24"/>
          <w:szCs w:val="24"/>
          <w:highlight w:val="none"/>
        </w:rPr>
      </w:pPr>
    </w:p>
    <w:p w14:paraId="662DB71E">
      <w:pPr>
        <w:pStyle w:val="34"/>
        <w:ind w:left="0" w:leftChars="0" w:firstLine="0" w:firstLineChars="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应答人：  </w:t>
      </w:r>
      <w:r>
        <w:rPr>
          <w:rFonts w:hint="eastAsia"/>
          <w:color w:val="auto"/>
          <w:sz w:val="24"/>
          <w:szCs w:val="24"/>
          <w:highlight w:val="none"/>
          <w:lang w:val="en-US" w:eastAsia="zh-CN"/>
        </w:rPr>
        <w:t xml:space="preserve">        </w:t>
      </w:r>
      <w:r>
        <w:rPr>
          <w:rFonts w:hint="eastAsia"/>
          <w:color w:val="auto"/>
          <w:sz w:val="24"/>
          <w:szCs w:val="24"/>
          <w:highlight w:val="none"/>
        </w:rPr>
        <w:t>（盖章）</w:t>
      </w:r>
    </w:p>
    <w:p w14:paraId="3795DF43">
      <w:pPr>
        <w:pStyle w:val="34"/>
        <w:ind w:left="360"/>
        <w:jc w:val="right"/>
        <w:rPr>
          <w:color w:val="auto"/>
          <w:sz w:val="24"/>
          <w:szCs w:val="24"/>
          <w:highlight w:val="none"/>
        </w:rPr>
      </w:pPr>
      <w:r>
        <w:rPr>
          <w:color w:val="auto"/>
          <w:sz w:val="24"/>
          <w:szCs w:val="24"/>
          <w:highlight w:val="none"/>
        </w:rPr>
        <w:t xml:space="preserve">          </w:t>
      </w:r>
    </w:p>
    <w:p w14:paraId="221CF8DB">
      <w:pPr>
        <w:pStyle w:val="34"/>
        <w:ind w:left="360" w:right="210"/>
        <w:jc w:val="center"/>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68609689">
      <w:pPr>
        <w:pStyle w:val="4"/>
        <w:numPr>
          <w:ilvl w:val="1"/>
          <w:numId w:val="0"/>
        </w:numPr>
        <w:bidi w:val="0"/>
        <w:ind w:leftChars="0"/>
        <w:rPr>
          <w:rFonts w:hint="eastAsia"/>
          <w:highlight w:val="none"/>
        </w:rPr>
      </w:pPr>
      <w:bookmarkStart w:id="17" w:name="_Toc14015"/>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控股及管理关系情况申报表</w:t>
      </w:r>
      <w:bookmarkEnd w:id="17"/>
    </w:p>
    <w:p w14:paraId="1FBFD21B">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控股及管理关系情况申报表</w:t>
      </w:r>
    </w:p>
    <w:p w14:paraId="4DB5ACB8">
      <w:pPr>
        <w:wordWrap w:val="0"/>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highlight w:val="none"/>
          <w:u w:val="single"/>
          <w14:textFill>
            <w14:solidFill>
              <w14:schemeClr w14:val="tx1"/>
            </w14:solidFill>
          </w14:textFill>
        </w:rPr>
        <w:t>有限公司</w:t>
      </w:r>
    </w:p>
    <w:p w14:paraId="6F2D1E77">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2025年成都媒体宣推定制化服务支撑方招募公告 </w:t>
      </w:r>
      <w:r>
        <w:rPr>
          <w:rFonts w:hint="eastAsia" w:ascii="宋体" w:hAnsi="宋体" w:eastAsia="宋体" w:cs="宋体"/>
          <w:color w:val="000000" w:themeColor="text1"/>
          <w:sz w:val="24"/>
          <w:szCs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14:paraId="02FD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Align w:val="center"/>
          </w:tcPr>
          <w:p w14:paraId="5B8FCBF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申报人名称</w:t>
            </w:r>
          </w:p>
        </w:tc>
        <w:tc>
          <w:tcPr>
            <w:tcW w:w="6290" w:type="dxa"/>
            <w:gridSpan w:val="2"/>
            <w:vAlign w:val="center"/>
          </w:tcPr>
          <w:p w14:paraId="7B9A011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EF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restart"/>
            <w:vAlign w:val="center"/>
          </w:tcPr>
          <w:p w14:paraId="2A15419C">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w:t>
            </w:r>
          </w:p>
        </w:tc>
        <w:tc>
          <w:tcPr>
            <w:tcW w:w="2436" w:type="dxa"/>
            <w:vAlign w:val="center"/>
          </w:tcPr>
          <w:p w14:paraId="46F3F3D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3854" w:type="dxa"/>
            <w:vAlign w:val="center"/>
          </w:tcPr>
          <w:p w14:paraId="4FDA4FC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22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continue"/>
            <w:vAlign w:val="center"/>
          </w:tcPr>
          <w:p w14:paraId="2528A9D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703E0BD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3854" w:type="dxa"/>
            <w:vAlign w:val="center"/>
          </w:tcPr>
          <w:p w14:paraId="365B78E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A9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49" w:type="dxa"/>
            <w:vAlign w:val="center"/>
          </w:tcPr>
          <w:p w14:paraId="1693877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控股股东/投资人名称</w:t>
            </w:r>
          </w:p>
          <w:p w14:paraId="542EC7E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及出资比例</w:t>
            </w:r>
          </w:p>
        </w:tc>
        <w:tc>
          <w:tcPr>
            <w:tcW w:w="6290" w:type="dxa"/>
            <w:gridSpan w:val="2"/>
            <w:vAlign w:val="center"/>
          </w:tcPr>
          <w:p w14:paraId="047FD948">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C8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849" w:type="dxa"/>
            <w:vAlign w:val="center"/>
          </w:tcPr>
          <w:p w14:paraId="4ED7A21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非控股股东/投资人名称及出资比例</w:t>
            </w:r>
          </w:p>
        </w:tc>
        <w:tc>
          <w:tcPr>
            <w:tcW w:w="6290" w:type="dxa"/>
            <w:gridSpan w:val="2"/>
            <w:vAlign w:val="center"/>
          </w:tcPr>
          <w:p w14:paraId="23A0A0F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FF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restart"/>
            <w:vAlign w:val="center"/>
          </w:tcPr>
          <w:p w14:paraId="59A84DF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2436" w:type="dxa"/>
            <w:vAlign w:val="center"/>
          </w:tcPr>
          <w:p w14:paraId="15F1490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3854" w:type="dxa"/>
            <w:vAlign w:val="center"/>
          </w:tcPr>
          <w:p w14:paraId="0D59C66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9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continue"/>
            <w:vAlign w:val="center"/>
          </w:tcPr>
          <w:p w14:paraId="5B09B82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153CD4B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被管理关系单位名称</w:t>
            </w:r>
          </w:p>
        </w:tc>
        <w:tc>
          <w:tcPr>
            <w:tcW w:w="3854" w:type="dxa"/>
            <w:vAlign w:val="center"/>
          </w:tcPr>
          <w:p w14:paraId="30B564C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B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49" w:type="dxa"/>
            <w:vAlign w:val="center"/>
          </w:tcPr>
          <w:p w14:paraId="1DA7DAF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290" w:type="dxa"/>
            <w:gridSpan w:val="2"/>
            <w:vAlign w:val="center"/>
          </w:tcPr>
          <w:p w14:paraId="13D6C68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4492107">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0A7A0F79">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14:paraId="009E57D2">
      <w:pPr>
        <w:wordWrap w:val="0"/>
        <w:adjustRightInd w:val="0"/>
        <w:snapToGrid w:val="0"/>
        <w:spacing w:line="240" w:lineRule="auto"/>
        <w:ind w:firstLine="420" w:firstLineChars="200"/>
        <w:jc w:val="left"/>
        <w:rPr>
          <w:rFonts w:hint="eastAsia" w:ascii="宋体" w:hAnsi="宋体" w:eastAsia="宋体" w:cs="宋体"/>
          <w:i/>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2、管理关系单位是指与不具有出资持股关系的其他单位之间存在管理与被管理关系的单位；</w:t>
      </w:r>
    </w:p>
    <w:p w14:paraId="41375CF1">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3、如未有相关情况，请在相应栏填写“无”；</w:t>
      </w:r>
    </w:p>
    <w:p w14:paraId="43B813B5">
      <w:pPr>
        <w:wordWrap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4DA59A5B">
      <w:pPr>
        <w:pStyle w:val="34"/>
        <w:ind w:left="0" w:leftChars="0" w:firstLine="0" w:firstLineChars="0"/>
        <w:jc w:val="distribute"/>
        <w:rPr>
          <w:rFonts w:hint="eastAsia"/>
          <w:sz w:val="24"/>
          <w:szCs w:val="24"/>
          <w:highlight w:val="none"/>
        </w:rPr>
      </w:pPr>
    </w:p>
    <w:p w14:paraId="242525DD">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31C60475">
      <w:pPr>
        <w:pStyle w:val="34"/>
        <w:ind w:left="360"/>
        <w:jc w:val="right"/>
        <w:rPr>
          <w:sz w:val="24"/>
          <w:szCs w:val="24"/>
          <w:highlight w:val="none"/>
        </w:rPr>
      </w:pPr>
      <w:r>
        <w:rPr>
          <w:sz w:val="24"/>
          <w:szCs w:val="24"/>
          <w:highlight w:val="none"/>
        </w:rPr>
        <w:t xml:space="preserve">          </w:t>
      </w:r>
    </w:p>
    <w:p w14:paraId="51F9AAB6">
      <w:pPr>
        <w:pStyle w:val="34"/>
        <w:ind w:left="360" w:right="210"/>
        <w:jc w:val="center"/>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rFonts w:hint="eastAsia"/>
          <w:sz w:val="24"/>
          <w:szCs w:val="24"/>
          <w:highlight w:val="none"/>
          <w:lang w:val="en-US" w:eastAsia="zh-CN"/>
        </w:rPr>
        <w:t>日</w:t>
      </w:r>
    </w:p>
    <w:p w14:paraId="304F0752">
      <w:pPr>
        <w:pStyle w:val="4"/>
        <w:numPr>
          <w:ilvl w:val="1"/>
          <w:numId w:val="0"/>
        </w:numPr>
        <w:bidi w:val="0"/>
        <w:ind w:leftChars="0"/>
        <w:rPr>
          <w:highlight w:val="none"/>
        </w:rPr>
      </w:pPr>
      <w:bookmarkStart w:id="18" w:name="_Toc28233"/>
      <w:bookmarkStart w:id="19" w:name="_Toc22412"/>
      <w:bookmarkStart w:id="20" w:name="_Toc6038"/>
      <w:bookmarkStart w:id="21" w:name="_Toc12998"/>
      <w:bookmarkStart w:id="22" w:name="_Toc135298621"/>
      <w:bookmarkStart w:id="23" w:name="_Toc14228"/>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法定代表人证明文件</w:t>
      </w:r>
      <w:bookmarkEnd w:id="18"/>
      <w:bookmarkEnd w:id="19"/>
      <w:bookmarkEnd w:id="20"/>
      <w:bookmarkEnd w:id="21"/>
      <w:bookmarkEnd w:id="22"/>
      <w:bookmarkEnd w:id="23"/>
    </w:p>
    <w:p w14:paraId="7F19C895">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14:paraId="670D58EC">
      <w:pPr>
        <w:spacing w:line="360" w:lineRule="auto"/>
        <w:rPr>
          <w:rFonts w:hint="eastAsia" w:ascii="宋体" w:hAnsi="宋体" w:cs="宋体"/>
          <w:b/>
          <w:szCs w:val="21"/>
          <w:highlight w:val="none"/>
        </w:rPr>
      </w:pPr>
    </w:p>
    <w:p w14:paraId="37B97944">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14:paraId="7E2A794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14:paraId="729A96B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14:paraId="25AC6EA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14:paraId="1DBD3C3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14:paraId="0612EBCC">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14:paraId="625452D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14:paraId="63483517">
      <w:pPr>
        <w:topLinePunct/>
        <w:spacing w:line="360" w:lineRule="auto"/>
        <w:rPr>
          <w:rFonts w:hint="eastAsia" w:ascii="宋体" w:hAnsi="宋体" w:cs="宋体"/>
          <w:bCs/>
          <w:szCs w:val="21"/>
          <w:highlight w:val="none"/>
        </w:rPr>
      </w:pPr>
    </w:p>
    <w:p w14:paraId="12B02940">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14:paraId="50A4A1A7">
      <w:pPr>
        <w:spacing w:line="360" w:lineRule="auto"/>
        <w:ind w:firstLine="430" w:firstLineChars="205"/>
        <w:rPr>
          <w:rFonts w:hint="eastAsia" w:ascii="宋体" w:hAnsi="宋体" w:cs="宋体"/>
          <w:szCs w:val="21"/>
          <w:highlight w:val="none"/>
        </w:rPr>
      </w:pPr>
    </w:p>
    <w:p w14:paraId="3D909FA8">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14:paraId="53FA597D">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4862FA">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14:paraId="344862FA">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4197CD">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14:paraId="304197CD">
                      <w:pPr>
                        <w:jc w:val="center"/>
                        <w:rPr>
                          <w:szCs w:val="21"/>
                        </w:rPr>
                      </w:pPr>
                      <w:r>
                        <w:rPr>
                          <w:rFonts w:hint="eastAsia"/>
                          <w:szCs w:val="21"/>
                        </w:rPr>
                        <w:t>法定代表人身份证正面复印件</w:t>
                      </w:r>
                    </w:p>
                  </w:txbxContent>
                </v:textbox>
              </v:shape>
            </w:pict>
          </mc:Fallback>
        </mc:AlternateContent>
      </w:r>
    </w:p>
    <w:p w14:paraId="08A0D478">
      <w:pPr>
        <w:spacing w:line="360" w:lineRule="auto"/>
        <w:rPr>
          <w:rFonts w:hint="eastAsia" w:ascii="宋体" w:hAnsi="宋体" w:cs="宋体"/>
          <w:szCs w:val="21"/>
          <w:highlight w:val="none"/>
        </w:rPr>
      </w:pPr>
    </w:p>
    <w:p w14:paraId="6CEE51A7">
      <w:pPr>
        <w:spacing w:line="360" w:lineRule="auto"/>
        <w:rPr>
          <w:rFonts w:hint="eastAsia" w:ascii="宋体" w:hAnsi="宋体" w:cs="宋体"/>
          <w:szCs w:val="21"/>
          <w:highlight w:val="none"/>
        </w:rPr>
      </w:pPr>
    </w:p>
    <w:p w14:paraId="1E55626F">
      <w:pPr>
        <w:spacing w:line="360" w:lineRule="auto"/>
        <w:rPr>
          <w:rFonts w:hint="eastAsia" w:ascii="宋体" w:hAnsi="宋体" w:cs="宋体"/>
          <w:szCs w:val="21"/>
          <w:highlight w:val="none"/>
        </w:rPr>
      </w:pPr>
    </w:p>
    <w:p w14:paraId="672466A1">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03C598B9">
      <w:pPr>
        <w:spacing w:line="360" w:lineRule="auto"/>
        <w:rPr>
          <w:rFonts w:hint="eastAsia" w:ascii="宋体" w:hAnsi="宋体" w:cs="宋体"/>
          <w:szCs w:val="21"/>
          <w:highlight w:val="none"/>
        </w:rPr>
      </w:pPr>
    </w:p>
    <w:p w14:paraId="57E5C316">
      <w:pPr>
        <w:spacing w:line="360" w:lineRule="auto"/>
        <w:rPr>
          <w:rFonts w:hint="eastAsia" w:ascii="宋体" w:hAnsi="宋体" w:cs="宋体"/>
          <w:szCs w:val="21"/>
          <w:highlight w:val="none"/>
        </w:rPr>
      </w:pPr>
    </w:p>
    <w:p w14:paraId="2C1FBC17">
      <w:pPr>
        <w:spacing w:line="360" w:lineRule="auto"/>
        <w:rPr>
          <w:rFonts w:hint="eastAsia" w:ascii="宋体" w:hAnsi="宋体" w:cs="宋体"/>
          <w:szCs w:val="21"/>
          <w:highlight w:val="none"/>
        </w:rPr>
      </w:pPr>
    </w:p>
    <w:p w14:paraId="7A352586">
      <w:pPr>
        <w:pStyle w:val="13"/>
        <w:spacing w:line="360" w:lineRule="auto"/>
        <w:rPr>
          <w:rFonts w:hint="eastAsia" w:ascii="宋体" w:hAnsi="宋体" w:eastAsia="宋体" w:cs="宋体"/>
          <w:b/>
          <w:bCs/>
          <w:highlight w:val="none"/>
        </w:rPr>
      </w:pPr>
    </w:p>
    <w:p w14:paraId="2AAE9F85">
      <w:pPr>
        <w:spacing w:after="312" w:afterLines="100" w:line="360" w:lineRule="auto"/>
        <w:jc w:val="right"/>
        <w:rPr>
          <w:rFonts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1D6FE38">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2242D31C">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14:paraId="4FBB2CF6">
      <w:pPr>
        <w:pStyle w:val="4"/>
        <w:numPr>
          <w:ilvl w:val="1"/>
          <w:numId w:val="0"/>
        </w:numPr>
        <w:bidi w:val="0"/>
        <w:ind w:leftChars="0"/>
        <w:rPr>
          <w:rFonts w:hint="eastAsia"/>
          <w:highlight w:val="none"/>
        </w:rPr>
      </w:pPr>
      <w:bookmarkStart w:id="24" w:name="_Toc21655"/>
      <w:bookmarkStart w:id="25" w:name="_Toc18473"/>
      <w:bookmarkStart w:id="26" w:name="_Toc2245"/>
      <w:bookmarkStart w:id="27" w:name="_Toc11784"/>
      <w:bookmarkStart w:id="28" w:name="_Toc41383321"/>
      <w:bookmarkStart w:id="29" w:name="_Toc127447623"/>
      <w:bookmarkStart w:id="30" w:name="_Toc135749946"/>
      <w:bookmarkStart w:id="31" w:name="_Toc41397668"/>
      <w:r>
        <w:rPr>
          <w:rFonts w:hint="eastAsia"/>
          <w:highlight w:val="none"/>
          <w:lang w:val="en-US" w:eastAsia="zh-CN"/>
        </w:rPr>
        <w:t>（七）</w:t>
      </w:r>
      <w:r>
        <w:rPr>
          <w:rFonts w:hint="eastAsia"/>
          <w:highlight w:val="none"/>
        </w:rPr>
        <w:t>法定代表人授权委托书</w:t>
      </w:r>
      <w:bookmarkEnd w:id="24"/>
      <w:bookmarkEnd w:id="25"/>
      <w:bookmarkEnd w:id="26"/>
      <w:bookmarkEnd w:id="27"/>
    </w:p>
    <w:p w14:paraId="366AC47D">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14:paraId="681A8688">
      <w:pPr>
        <w:pStyle w:val="38"/>
        <w:ind w:firstLine="480"/>
        <w:rPr>
          <w:rFonts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14:paraId="54FED609">
      <w:pPr>
        <w:pStyle w:val="38"/>
        <w:ind w:firstLine="480"/>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14:paraId="424371A7">
      <w:pPr>
        <w:pStyle w:val="38"/>
        <w:ind w:firstLine="480"/>
        <w:rPr>
          <w:rFonts w:ascii="宋体" w:hAnsi="宋体"/>
          <w:highlight w:val="none"/>
        </w:rPr>
      </w:pPr>
      <w:r>
        <w:rPr>
          <w:rFonts w:ascii="宋体" w:hAnsi="宋体"/>
          <w:highlight w:val="none"/>
        </w:rPr>
        <w:t>代理人无转委托权。</w:t>
      </w:r>
    </w:p>
    <w:p w14:paraId="52414118">
      <w:pPr>
        <w:pStyle w:val="38"/>
        <w:ind w:firstLine="0" w:firstLineChars="0"/>
        <w:rPr>
          <w:rFonts w:hint="eastAsia" w:ascii="宋体" w:hAnsi="宋体"/>
          <w:highlight w:val="none"/>
        </w:rPr>
      </w:pPr>
    </w:p>
    <w:p w14:paraId="409BC923">
      <w:pPr>
        <w:pStyle w:val="38"/>
        <w:ind w:firstLine="0" w:firstLineChars="0"/>
        <w:rPr>
          <w:rFonts w:ascii="宋体" w:hAnsi="宋体"/>
          <w:highlight w:val="none"/>
        </w:rPr>
      </w:pPr>
      <w:r>
        <w:rPr>
          <w:rFonts w:hint="eastAsia" w:ascii="宋体" w:hAnsi="宋体"/>
          <w:highlight w:val="none"/>
        </w:rPr>
        <w:t>附：委托代理人身份证复印件（需同时提供正面及背面）</w:t>
      </w:r>
    </w:p>
    <w:p w14:paraId="2BE0D7F1">
      <w:pPr>
        <w:spacing w:line="360" w:lineRule="auto"/>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C26FD5">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14:paraId="18C26FD5">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7FBFA0E">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14:paraId="67FBFA0E">
                      <w:pPr>
                        <w:jc w:val="center"/>
                        <w:rPr>
                          <w:szCs w:val="21"/>
                        </w:rPr>
                      </w:pPr>
                      <w:r>
                        <w:rPr>
                          <w:rFonts w:hint="eastAsia"/>
                          <w:szCs w:val="21"/>
                        </w:rPr>
                        <w:t>委托代理人身份证正面复印件贴于此处</w:t>
                      </w:r>
                    </w:p>
                  </w:txbxContent>
                </v:textbox>
              </v:shape>
            </w:pict>
          </mc:Fallback>
        </mc:AlternateContent>
      </w:r>
    </w:p>
    <w:p w14:paraId="163BB4A8">
      <w:pPr>
        <w:spacing w:line="360" w:lineRule="auto"/>
        <w:rPr>
          <w:rFonts w:ascii="宋体" w:hAnsi="宋体"/>
          <w:szCs w:val="21"/>
          <w:highlight w:val="none"/>
        </w:rPr>
      </w:pPr>
    </w:p>
    <w:p w14:paraId="62009F7C">
      <w:pPr>
        <w:spacing w:line="360" w:lineRule="auto"/>
        <w:rPr>
          <w:rFonts w:ascii="宋体" w:hAnsi="宋体"/>
          <w:szCs w:val="21"/>
          <w:highlight w:val="none"/>
        </w:rPr>
      </w:pPr>
    </w:p>
    <w:p w14:paraId="5E0E4514">
      <w:pPr>
        <w:spacing w:line="360" w:lineRule="auto"/>
        <w:rPr>
          <w:rFonts w:ascii="宋体" w:hAnsi="宋体"/>
          <w:szCs w:val="21"/>
          <w:highlight w:val="none"/>
        </w:rPr>
      </w:pPr>
    </w:p>
    <w:p w14:paraId="2876C03E">
      <w:pPr>
        <w:spacing w:line="360" w:lineRule="auto"/>
        <w:rPr>
          <w:rFonts w:ascii="宋体" w:hAnsi="宋体"/>
          <w:szCs w:val="21"/>
          <w:highlight w:val="none"/>
        </w:rPr>
      </w:pPr>
      <w:r>
        <w:rPr>
          <w:rFonts w:ascii="宋体" w:hAnsi="宋体"/>
          <w:szCs w:val="21"/>
          <w:highlight w:val="none"/>
        </w:rPr>
        <w:t xml:space="preserve">                          </w:t>
      </w:r>
    </w:p>
    <w:p w14:paraId="7809F973">
      <w:pPr>
        <w:spacing w:line="360" w:lineRule="auto"/>
        <w:rPr>
          <w:rFonts w:ascii="宋体" w:hAnsi="宋体"/>
          <w:szCs w:val="21"/>
          <w:highlight w:val="none"/>
        </w:rPr>
      </w:pPr>
    </w:p>
    <w:p w14:paraId="6902E700">
      <w:pPr>
        <w:spacing w:line="360" w:lineRule="auto"/>
        <w:rPr>
          <w:rFonts w:ascii="宋体" w:hAnsi="宋体"/>
          <w:szCs w:val="21"/>
          <w:highlight w:val="none"/>
        </w:rPr>
      </w:pPr>
    </w:p>
    <w:p w14:paraId="43F26A15">
      <w:pPr>
        <w:spacing w:line="360" w:lineRule="auto"/>
        <w:rPr>
          <w:rFonts w:ascii="宋体" w:hAnsi="宋体"/>
          <w:szCs w:val="21"/>
          <w:highlight w:val="none"/>
        </w:rPr>
      </w:pPr>
    </w:p>
    <w:p w14:paraId="58693F0B">
      <w:pPr>
        <w:spacing w:line="360" w:lineRule="auto"/>
        <w:rPr>
          <w:rFonts w:ascii="宋体" w:hAnsi="宋体"/>
          <w:szCs w:val="21"/>
          <w:highlight w:val="none"/>
        </w:rPr>
      </w:pPr>
    </w:p>
    <w:p w14:paraId="7799548A">
      <w:pPr>
        <w:spacing w:line="360" w:lineRule="auto"/>
        <w:rPr>
          <w:rFonts w:ascii="宋体" w:hAnsi="宋体"/>
          <w:szCs w:val="21"/>
          <w:highlight w:val="none"/>
        </w:rPr>
      </w:pPr>
      <w:r>
        <w:rPr>
          <w:rFonts w:ascii="宋体" w:hAnsi="宋体"/>
          <w:szCs w:val="21"/>
          <w:highlight w:val="none"/>
        </w:rPr>
        <w:t xml:space="preserve">                          </w:t>
      </w:r>
    </w:p>
    <w:p w14:paraId="473CC287">
      <w:pPr>
        <w:spacing w:line="360" w:lineRule="auto"/>
        <w:jc w:val="right"/>
        <w:rPr>
          <w:rFonts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14:paraId="6B938948">
      <w:pPr>
        <w:spacing w:line="360" w:lineRule="auto"/>
        <w:jc w:val="right"/>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0AE7242D">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253FC8B7">
      <w:pPr>
        <w:spacing w:line="360" w:lineRule="auto"/>
        <w:ind w:right="105"/>
        <w:jc w:val="right"/>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14:paraId="07DC3F3E">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6BC76485">
      <w:pPr>
        <w:spacing w:line="360" w:lineRule="auto"/>
        <w:ind w:firstLine="2310" w:firstLineChars="1100"/>
        <w:jc w:val="right"/>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28"/>
      <w:bookmarkEnd w:id="29"/>
      <w:bookmarkEnd w:id="30"/>
      <w:bookmarkEnd w:id="31"/>
    </w:p>
    <w:p w14:paraId="5D892BEB">
      <w:pPr>
        <w:pStyle w:val="3"/>
        <w:bidi w:val="0"/>
        <w:rPr>
          <w:rFonts w:hint="eastAsia"/>
          <w:highlight w:val="none"/>
          <w:lang w:val="en-US" w:eastAsia="zh-CN"/>
        </w:rPr>
      </w:pPr>
      <w:bookmarkStart w:id="32" w:name="_Toc15309"/>
      <w:r>
        <w:rPr>
          <w:rFonts w:hint="eastAsia"/>
          <w:highlight w:val="none"/>
          <w:lang w:val="en-US" w:eastAsia="zh-CN"/>
        </w:rPr>
        <w:t>服务经验业绩认定</w:t>
      </w:r>
      <w:bookmarkEnd w:id="32"/>
    </w:p>
    <w:p w14:paraId="0395E858">
      <w:pPr>
        <w:numPr>
          <w:ilvl w:val="0"/>
          <w:numId w:val="4"/>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提供信息安全承诺。</w:t>
      </w:r>
      <w:r>
        <w:rPr>
          <w:rFonts w:hint="default" w:ascii="仿宋_GB2312" w:hAnsi="宋体" w:eastAsia="仿宋_GB2312" w:cs="仿宋_GB2312"/>
          <w:b/>
          <w:bCs/>
          <w:i w:val="0"/>
          <w:iCs w:val="0"/>
          <w:color w:val="000000"/>
          <w:kern w:val="0"/>
          <w:sz w:val="28"/>
          <w:szCs w:val="28"/>
          <w:highlight w:val="none"/>
          <w:u w:val="none"/>
          <w:lang w:val="en-US" w:eastAsia="zh-CN" w:bidi="ar"/>
        </w:rPr>
        <w:t>承诺确保信息内容的准确性、合法性，并负责处理由于信息内容的准确性、合法性引起的各类投诉、纠纷，并承担相关法律责任；不将信息内容、服务方案、活动排期、运营数据等内部资料和信息透露给第三方。</w:t>
      </w:r>
    </w:p>
    <w:p w14:paraId="1A777905">
      <w:pPr>
        <w:numPr>
          <w:ilvl w:val="0"/>
          <w:numId w:val="4"/>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提供近3年内（2022年9月19日至2025年9月19日）</w:t>
      </w:r>
      <w:r>
        <w:rPr>
          <w:rFonts w:hint="eastAsia" w:ascii="仿宋_GB2312" w:hAnsi="宋体" w:eastAsia="仿宋_GB2312" w:cs="仿宋_GB2312"/>
          <w:b/>
          <w:bCs/>
          <w:i w:val="0"/>
          <w:iCs w:val="0"/>
          <w:color w:val="000000"/>
          <w:kern w:val="0"/>
          <w:sz w:val="28"/>
          <w:szCs w:val="28"/>
          <w:highlight w:val="none"/>
          <w:u w:val="single"/>
          <w:lang w:val="en-US" w:eastAsia="zh-CN" w:bidi="ar"/>
        </w:rPr>
        <w:t>同类项目服务案例</w:t>
      </w:r>
      <w:r>
        <w:rPr>
          <w:rFonts w:hint="eastAsia" w:ascii="仿宋_GB2312" w:hAnsi="宋体" w:eastAsia="仿宋_GB2312" w:cs="仿宋_GB2312"/>
          <w:b/>
          <w:bCs/>
          <w:i w:val="0"/>
          <w:iCs w:val="0"/>
          <w:color w:val="000000"/>
          <w:kern w:val="0"/>
          <w:sz w:val="28"/>
          <w:szCs w:val="28"/>
          <w:highlight w:val="none"/>
          <w:u w:val="none"/>
          <w:lang w:val="en-US" w:eastAsia="zh-CN" w:bidi="ar"/>
        </w:rPr>
        <w:t>，需要以提供的合同（含关键页及发票）、订单等盖章证明资料为准。</w:t>
      </w:r>
    </w:p>
    <w:p w14:paraId="3DFA8D94">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 xml:space="preserve"> 注：（1）提供与应答人（作为被委托方/乙方）签署的合同关键页扫描件（包含合同封面、服务内容、金额、周期、签字盖章等；或能体现前述内容的合同关键页，单项合同以合同金额为准）及发票。</w:t>
      </w:r>
    </w:p>
    <w:p w14:paraId="4F68C72D">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如为框架合同，除框架合同关键页外，还需提供合同执行证明文件（结算发票或者经委托方/甲方盖章确认的订单/结算单/说明文件等），如是委托订单对应至少一张结算发票证明，以订单累计金额为准（未附结算发票的订单不计入），如仅提供合同+结算发票，则以发票累计金额为准）。</w:t>
      </w:r>
    </w:p>
    <w:p w14:paraId="74B48C50">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（2）如签约方为国内非自然人，签字盖章页能体现签约方公章或合同章视为有效。如签约方为国内外自然人或国外非自然人须体现签字视为有效。</w:t>
      </w:r>
    </w:p>
    <w:p w14:paraId="6FA7FD2E">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（3）有效合同时间指合同签约日期或合同履约时间近3年的。（若框架合同时间不确定，则以实际委托订单和结算单发出时间为准。）</w:t>
      </w:r>
    </w:p>
    <w:p w14:paraId="0F1C1513">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未提供完整有效证明材料的不得分。</w:t>
      </w:r>
    </w:p>
    <w:p w14:paraId="31E29778">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singl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提供完善的</w:t>
      </w:r>
      <w:r>
        <w:rPr>
          <w:rFonts w:hint="eastAsia" w:ascii="仿宋_GB2312" w:hAnsi="宋体" w:eastAsia="仿宋_GB2312" w:cs="仿宋_GB2312"/>
          <w:b/>
          <w:bCs/>
          <w:i w:val="0"/>
          <w:iCs w:val="0"/>
          <w:color w:val="000000"/>
          <w:kern w:val="0"/>
          <w:sz w:val="28"/>
          <w:szCs w:val="28"/>
          <w:highlight w:val="none"/>
          <w:u w:val="single"/>
          <w:lang w:val="en-US" w:eastAsia="zh-CN" w:bidi="ar"/>
        </w:rPr>
        <w:t>服务合作方案，</w:t>
      </w:r>
      <w:r>
        <w:rPr>
          <w:rFonts w:hint="eastAsia" w:ascii="仿宋_GB2312" w:hAnsi="宋体" w:eastAsia="仿宋_GB2312" w:cs="仿宋_GB2312"/>
          <w:b/>
          <w:bCs/>
          <w:i w:val="0"/>
          <w:iCs w:val="0"/>
          <w:color w:val="000000"/>
          <w:kern w:val="0"/>
          <w:sz w:val="28"/>
          <w:szCs w:val="28"/>
          <w:highlight w:val="none"/>
          <w:u w:val="none"/>
          <w:lang w:val="en-US" w:eastAsia="zh-CN" w:bidi="ar"/>
        </w:rPr>
        <w:t>内容需包含以下各小点：</w:t>
      </w:r>
    </w:p>
    <w:p w14:paraId="2C32AC41">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default" w:ascii="仿宋_GB2312" w:hAnsi="宋体" w:eastAsia="仿宋_GB2312" w:cs="仿宋_GB2312"/>
          <w:b w:val="0"/>
          <w:bCs w:val="0"/>
          <w:i w:val="0"/>
          <w:iCs w:val="0"/>
          <w:color w:val="000000"/>
          <w:kern w:val="0"/>
          <w:sz w:val="28"/>
          <w:szCs w:val="28"/>
          <w:highlight w:val="none"/>
          <w:u w:val="none"/>
          <w:lang w:val="en-US" w:eastAsia="zh-CN" w:bidi="ar"/>
        </w:rPr>
        <w:t>1.项目背景分析；</w:t>
      </w:r>
    </w:p>
    <w:p w14:paraId="7EC6F6F6">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default" w:ascii="仿宋_GB2312" w:hAnsi="宋体" w:eastAsia="仿宋_GB2312" w:cs="仿宋_GB2312"/>
          <w:b w:val="0"/>
          <w:bCs w:val="0"/>
          <w:i w:val="0"/>
          <w:iCs w:val="0"/>
          <w:color w:val="000000"/>
          <w:kern w:val="0"/>
          <w:sz w:val="28"/>
          <w:szCs w:val="28"/>
          <w:highlight w:val="none"/>
          <w:u w:val="none"/>
          <w:lang w:val="en-US" w:eastAsia="zh-CN" w:bidi="ar"/>
        </w:rPr>
        <w:t>2.项目的重难点分析及应对措施；</w:t>
      </w:r>
    </w:p>
    <w:p w14:paraId="2533D4FB">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default" w:ascii="仿宋_GB2312" w:hAnsi="宋体" w:eastAsia="仿宋_GB2312" w:cs="仿宋_GB2312"/>
          <w:b w:val="0"/>
          <w:bCs w:val="0"/>
          <w:i w:val="0"/>
          <w:iCs w:val="0"/>
          <w:color w:val="000000"/>
          <w:kern w:val="0"/>
          <w:sz w:val="28"/>
          <w:szCs w:val="28"/>
          <w:highlight w:val="none"/>
          <w:u w:val="none"/>
          <w:lang w:val="en-US" w:eastAsia="zh-CN" w:bidi="ar"/>
        </w:rPr>
        <w:t>3.宣传执行计划（包含启动前预热、推进持续和收尾三个阶段的工作计划、进度安排）；</w:t>
      </w:r>
    </w:p>
    <w:p w14:paraId="573DF7E3">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default" w:ascii="仿宋_GB2312" w:hAnsi="宋体" w:eastAsia="仿宋_GB2312" w:cs="仿宋_GB2312"/>
          <w:b w:val="0"/>
          <w:bCs w:val="0"/>
          <w:i w:val="0"/>
          <w:iCs w:val="0"/>
          <w:color w:val="000000"/>
          <w:kern w:val="0"/>
          <w:sz w:val="28"/>
          <w:szCs w:val="28"/>
          <w:highlight w:val="none"/>
          <w:u w:val="none"/>
          <w:lang w:val="en-US" w:eastAsia="zh-CN" w:bidi="ar"/>
        </w:rPr>
        <w:t>4.主流媒体宣传推广实施方案（包含主流媒体清单，安排推广项目计划）；</w:t>
      </w:r>
    </w:p>
    <w:p w14:paraId="252C73D3">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default" w:ascii="仿宋_GB2312" w:hAnsi="宋体" w:eastAsia="仿宋_GB2312" w:cs="仿宋_GB2312"/>
          <w:b w:val="0"/>
          <w:bCs w:val="0"/>
          <w:i w:val="0"/>
          <w:iCs w:val="0"/>
          <w:color w:val="000000"/>
          <w:kern w:val="0"/>
          <w:sz w:val="28"/>
          <w:szCs w:val="28"/>
          <w:highlight w:val="none"/>
          <w:u w:val="none"/>
          <w:lang w:val="en-US" w:eastAsia="zh-CN" w:bidi="ar"/>
        </w:rPr>
        <w:t>5.新媒体宣传推广实施方案（包含宣传方式，原创图文、视频、新媒体产品等内容制作及规划）；</w:t>
      </w:r>
    </w:p>
    <w:p w14:paraId="33E1F9D2">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default" w:ascii="仿宋_GB2312" w:hAnsi="宋体" w:eastAsia="仿宋_GB2312" w:cs="仿宋_GB2312"/>
          <w:b w:val="0"/>
          <w:bCs w:val="0"/>
          <w:i w:val="0"/>
          <w:iCs w:val="0"/>
          <w:color w:val="000000"/>
          <w:kern w:val="0"/>
          <w:sz w:val="28"/>
          <w:szCs w:val="28"/>
          <w:highlight w:val="none"/>
          <w:u w:val="none"/>
          <w:lang w:val="en-US" w:eastAsia="zh-CN" w:bidi="ar"/>
        </w:rPr>
        <w:t>6.宣传视频制作方案（包含视频思路构架、创意方案、摄影标准、宣推计划等）；</w:t>
      </w:r>
    </w:p>
    <w:p w14:paraId="1EC3CAA0">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default" w:ascii="仿宋_GB2312" w:hAnsi="宋体" w:eastAsia="仿宋_GB2312" w:cs="仿宋_GB2312"/>
          <w:b w:val="0"/>
          <w:bCs w:val="0"/>
          <w:i w:val="0"/>
          <w:iCs w:val="0"/>
          <w:color w:val="000000"/>
          <w:kern w:val="0"/>
          <w:sz w:val="28"/>
          <w:szCs w:val="28"/>
          <w:highlight w:val="none"/>
          <w:u w:val="none"/>
          <w:lang w:val="en-US" w:eastAsia="zh-CN" w:bidi="ar"/>
        </w:rPr>
        <w:t>7.线下氛围营造计划实施方案（包含省内主要商圈、户外大屏、灯杆旗、道旗、互动DP展位、机场、高铁、地铁、公交等线下点位布置清单以及相匹配宣传视频、海报制作推广）；</w:t>
      </w:r>
    </w:p>
    <w:p w14:paraId="215879EA">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default" w:ascii="仿宋_GB2312" w:hAnsi="宋体" w:eastAsia="仿宋_GB2312" w:cs="仿宋_GB2312"/>
          <w:b w:val="0"/>
          <w:bCs w:val="0"/>
          <w:i w:val="0"/>
          <w:iCs w:val="0"/>
          <w:color w:val="000000"/>
          <w:kern w:val="0"/>
          <w:sz w:val="28"/>
          <w:szCs w:val="28"/>
          <w:highlight w:val="none"/>
          <w:u w:val="none"/>
          <w:lang w:val="en-US" w:eastAsia="zh-CN" w:bidi="ar"/>
        </w:rPr>
        <w:t>8.服务方案（设置售后专人递交结项报告，包括项目主要工作和传播效果汇总，采用对应图文和项目明细方式呈现）；</w:t>
      </w:r>
    </w:p>
    <w:p w14:paraId="36FE6395">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default" w:ascii="仿宋_GB2312" w:hAnsi="宋体" w:eastAsia="仿宋_GB2312" w:cs="仿宋_GB2312"/>
          <w:b w:val="0"/>
          <w:bCs w:val="0"/>
          <w:i w:val="0"/>
          <w:iCs w:val="0"/>
          <w:color w:val="000000"/>
          <w:kern w:val="0"/>
          <w:sz w:val="28"/>
          <w:szCs w:val="28"/>
          <w:highlight w:val="none"/>
          <w:u w:val="none"/>
          <w:lang w:val="en-US" w:eastAsia="zh-CN" w:bidi="ar"/>
        </w:rPr>
        <w:t>9.服务质量保障方案（包含服务保障目标、质量保障体系、服务保障措施）；</w:t>
      </w:r>
    </w:p>
    <w:p w14:paraId="590B54E7">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default" w:ascii="仿宋_GB2312" w:hAnsi="宋体" w:eastAsia="仿宋_GB2312" w:cs="仿宋_GB2312"/>
          <w:b w:val="0"/>
          <w:bCs w:val="0"/>
          <w:i w:val="0"/>
          <w:iCs w:val="0"/>
          <w:color w:val="000000"/>
          <w:kern w:val="0"/>
          <w:sz w:val="28"/>
          <w:szCs w:val="28"/>
          <w:highlight w:val="none"/>
          <w:u w:val="none"/>
          <w:lang w:val="en-US" w:eastAsia="zh-CN" w:bidi="ar"/>
        </w:rPr>
        <w:t>10.应急预案（包含宣传服务期间的信息发布应急响应；应急处理小组设置；应急事件的处理程序；活动现场广告发布、线下物料布置等可能出现的突发状况应急解决办法、舆情等）。</w:t>
      </w:r>
    </w:p>
    <w:p w14:paraId="325BCBD1">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singl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提供完善的</w:t>
      </w:r>
      <w:r>
        <w:rPr>
          <w:rFonts w:hint="eastAsia" w:ascii="仿宋_GB2312" w:hAnsi="宋体" w:eastAsia="仿宋_GB2312" w:cs="仿宋_GB2312"/>
          <w:b/>
          <w:bCs/>
          <w:i w:val="0"/>
          <w:iCs w:val="0"/>
          <w:color w:val="000000"/>
          <w:kern w:val="0"/>
          <w:sz w:val="28"/>
          <w:szCs w:val="28"/>
          <w:highlight w:val="none"/>
          <w:u w:val="single"/>
          <w:lang w:val="en-US" w:eastAsia="zh-CN" w:bidi="ar"/>
        </w:rPr>
        <w:t>团队配置方案，</w:t>
      </w:r>
      <w:r>
        <w:rPr>
          <w:rFonts w:hint="eastAsia" w:ascii="仿宋_GB2312" w:hAnsi="宋体" w:eastAsia="仿宋_GB2312" w:cs="仿宋_GB2312"/>
          <w:b/>
          <w:bCs/>
          <w:i w:val="0"/>
          <w:iCs w:val="0"/>
          <w:color w:val="000000"/>
          <w:kern w:val="0"/>
          <w:sz w:val="28"/>
          <w:szCs w:val="28"/>
          <w:highlight w:val="none"/>
          <w:u w:val="none"/>
          <w:lang w:val="en-US" w:eastAsia="zh-CN" w:bidi="ar"/>
        </w:rPr>
        <w:t>内容需包含以下各小点：</w:t>
      </w:r>
    </w:p>
    <w:p w14:paraId="7FB9DFB1">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default" w:ascii="仿宋_GB2312" w:hAnsi="宋体" w:eastAsia="仿宋_GB2312" w:cs="仿宋_GB2312"/>
          <w:b w:val="0"/>
          <w:bCs w:val="0"/>
          <w:i w:val="0"/>
          <w:iCs w:val="0"/>
          <w:color w:val="000000"/>
          <w:kern w:val="0"/>
          <w:sz w:val="28"/>
          <w:szCs w:val="28"/>
          <w:highlight w:val="none"/>
          <w:u w:val="none"/>
          <w:lang w:val="en-US" w:eastAsia="zh-CN" w:bidi="ar"/>
        </w:rPr>
        <w:t>1.项目组织架构、岗位设置和岗位职责；</w:t>
      </w:r>
    </w:p>
    <w:p w14:paraId="509D592C">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default" w:ascii="仿宋_GB2312" w:hAnsi="宋体" w:eastAsia="仿宋_GB2312" w:cs="仿宋_GB2312"/>
          <w:b w:val="0"/>
          <w:bCs w:val="0"/>
          <w:i w:val="0"/>
          <w:iCs w:val="0"/>
          <w:color w:val="000000"/>
          <w:kern w:val="0"/>
          <w:sz w:val="28"/>
          <w:szCs w:val="28"/>
          <w:highlight w:val="none"/>
          <w:u w:val="none"/>
          <w:lang w:val="en-US" w:eastAsia="zh-CN" w:bidi="ar"/>
        </w:rPr>
        <w:t>2.人员管理制度方案。</w:t>
      </w:r>
    </w:p>
    <w:p w14:paraId="5B2BF5BC">
      <w:pPr>
        <w:numPr>
          <w:numId w:val="0"/>
        </w:numPr>
        <w:spacing w:line="360" w:lineRule="auto"/>
        <w:ind w:leftChars="200"/>
        <w:rPr>
          <w:rFonts w:hint="default" w:ascii="仿宋_GB2312" w:hAnsi="宋体" w:eastAsia="仿宋_GB2312" w:cs="仿宋_GB2312"/>
          <w:b/>
          <w:bCs/>
          <w:i w:val="0"/>
          <w:iCs w:val="0"/>
          <w:color w:val="000000"/>
          <w:kern w:val="0"/>
          <w:sz w:val="28"/>
          <w:szCs w:val="28"/>
          <w:highlight w:val="none"/>
          <w:u w:val="none"/>
          <w:lang w:val="en-US" w:eastAsia="zh-CN" w:bidi="ar"/>
        </w:rPr>
      </w:pPr>
    </w:p>
    <w:p w14:paraId="60FAD0C0">
      <w:pPr>
        <w:pStyle w:val="2"/>
        <w:rPr>
          <w:rFonts w:hint="default"/>
          <w:lang w:val="en-US" w:eastAsia="zh-CN"/>
        </w:rPr>
      </w:pPr>
    </w:p>
    <w:p w14:paraId="2BEC635F">
      <w:pPr>
        <w:spacing w:line="360" w:lineRule="auto"/>
        <w:ind w:firstLine="562" w:firstLineChars="200"/>
        <w:rPr>
          <w:rFonts w:hint="eastAsia" w:ascii="仿宋" w:hAnsi="仿宋" w:eastAsia="仿宋"/>
          <w:b/>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b/>
          <w:bCs/>
          <w:i w:val="0"/>
          <w:iCs w:val="0"/>
          <w:color w:val="000000"/>
          <w:kern w:val="0"/>
          <w:sz w:val="28"/>
          <w:szCs w:val="28"/>
          <w:highlight w:val="none"/>
          <w:u w:val="none"/>
          <w:lang w:val="en-US" w:eastAsia="zh-CN" w:bidi="ar"/>
        </w:rPr>
        <w:t>上述材料不满足要求、不全不清晰，则对应业绩不予认定</w:t>
      </w:r>
      <w:bookmarkStart w:id="33" w:name="_Toc12383472"/>
      <w:r>
        <w:rPr>
          <w:rFonts w:hint="eastAsia" w:ascii="仿宋_GB2312" w:hAnsi="宋体" w:eastAsia="仿宋_GB2312" w:cs="仿宋_GB2312"/>
          <w:b/>
          <w:bCs/>
          <w:i w:val="0"/>
          <w:iCs w:val="0"/>
          <w:color w:val="000000"/>
          <w:kern w:val="0"/>
          <w:sz w:val="28"/>
          <w:szCs w:val="28"/>
          <w:highlight w:val="none"/>
          <w:u w:val="none"/>
          <w:lang w:val="en-US" w:eastAsia="zh-CN" w:bidi="ar"/>
        </w:rPr>
        <w:t>。</w:t>
      </w:r>
    </w:p>
    <w:bookmarkEnd w:id="33"/>
    <w:p w14:paraId="1166AD51">
      <w:pPr>
        <w:pStyle w:val="3"/>
        <w:bidi w:val="0"/>
        <w:rPr>
          <w:rFonts w:hint="eastAsia"/>
          <w:highlight w:val="none"/>
          <w:lang w:val="en-US" w:eastAsia="zh-CN"/>
        </w:rPr>
      </w:pPr>
      <w:r>
        <w:rPr>
          <w:rFonts w:hint="eastAsia"/>
          <w:highlight w:val="none"/>
          <w:lang w:val="en-US" w:eastAsia="zh-CN"/>
        </w:rPr>
        <w:t>报价表</w:t>
      </w:r>
    </w:p>
    <w:tbl>
      <w:tblPr>
        <w:tblW w:w="112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89"/>
        <w:gridCol w:w="4756"/>
        <w:gridCol w:w="1001"/>
        <w:gridCol w:w="1369"/>
        <w:gridCol w:w="991"/>
        <w:gridCol w:w="991"/>
        <w:gridCol w:w="860"/>
      </w:tblGrid>
      <w:tr w14:paraId="6888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98FE3BB">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工作大项</w:t>
            </w:r>
          </w:p>
        </w:tc>
        <w:tc>
          <w:tcPr>
            <w:tcW w:w="4756" w:type="dxa"/>
            <w:tcBorders>
              <w:top w:val="single" w:color="000000" w:sz="4" w:space="0"/>
              <w:left w:val="single" w:color="000000" w:sz="4" w:space="0"/>
              <w:bottom w:val="single" w:color="000000" w:sz="4" w:space="0"/>
              <w:right w:val="single" w:color="000000" w:sz="4" w:space="0"/>
            </w:tcBorders>
            <w:shd w:val="clear"/>
            <w:vAlign w:val="center"/>
          </w:tcPr>
          <w:p w14:paraId="29677B0B">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执行方式</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14:paraId="7E845194">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单位</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14:paraId="3FA2584E">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含税单价限价（元）</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14:paraId="1B684C44">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未含税单价（元）</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14:paraId="39C4087E">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含税单价（元）</w:t>
            </w:r>
          </w:p>
        </w:tc>
        <w:tc>
          <w:tcPr>
            <w:tcW w:w="860" w:type="dxa"/>
            <w:tcBorders>
              <w:top w:val="single" w:color="000000" w:sz="4" w:space="0"/>
              <w:left w:val="single" w:color="000000" w:sz="4" w:space="0"/>
              <w:bottom w:val="single" w:color="000000" w:sz="4" w:space="0"/>
              <w:right w:val="single" w:color="000000" w:sz="4" w:space="0"/>
            </w:tcBorders>
            <w:shd w:val="clear"/>
            <w:vAlign w:val="center"/>
          </w:tcPr>
          <w:p w14:paraId="03356FCD">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增值税</w:t>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税率</w:t>
            </w:r>
          </w:p>
        </w:tc>
      </w:tr>
      <w:tr w14:paraId="11BF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A24FE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主流媒体宣传推广</w:t>
            </w:r>
          </w:p>
        </w:tc>
        <w:tc>
          <w:tcPr>
            <w:tcW w:w="4756" w:type="dxa"/>
            <w:tcBorders>
              <w:top w:val="single" w:color="000000" w:sz="4" w:space="0"/>
              <w:left w:val="single" w:color="000000" w:sz="4" w:space="0"/>
              <w:bottom w:val="single" w:color="000000" w:sz="4" w:space="0"/>
              <w:right w:val="single" w:color="000000" w:sz="4" w:space="0"/>
            </w:tcBorders>
            <w:shd w:val="clear"/>
            <w:vAlign w:val="center"/>
          </w:tcPr>
          <w:p w14:paraId="517D6EF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基于咪咕音乐的整体策划要求，开展新闻、经济、城市报道、官方媒体等媒体宣发，</w:t>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要求覆盖至少50家媒体。</w:t>
            </w:r>
          </w:p>
        </w:tc>
        <w:tc>
          <w:tcPr>
            <w:tcW w:w="100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78E3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元/项</w:t>
            </w:r>
          </w:p>
        </w:tc>
        <w:tc>
          <w:tcPr>
            <w:tcW w:w="136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0211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2,000,000</w:t>
            </w:r>
          </w:p>
        </w:tc>
        <w:tc>
          <w:tcPr>
            <w:tcW w:w="9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4404B5">
            <w:pPr>
              <w:jc w:val="center"/>
              <w:rPr>
                <w:rFonts w:hint="eastAsia" w:ascii="仿宋_GB2312" w:hAnsi="宋体" w:eastAsia="仿宋_GB2312" w:cs="仿宋_GB2312"/>
                <w:i w:val="0"/>
                <w:iCs w:val="0"/>
                <w:color w:val="000000"/>
                <w:sz w:val="24"/>
                <w:szCs w:val="24"/>
                <w:u w:val="none"/>
              </w:rPr>
            </w:pPr>
          </w:p>
        </w:tc>
        <w:tc>
          <w:tcPr>
            <w:tcW w:w="9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E11597">
            <w:pPr>
              <w:jc w:val="center"/>
              <w:rPr>
                <w:rFonts w:hint="eastAsia" w:ascii="仿宋_GB2312" w:hAnsi="宋体" w:eastAsia="仿宋_GB2312" w:cs="仿宋_GB2312"/>
                <w:i w:val="0"/>
                <w:iCs w:val="0"/>
                <w:color w:val="000000"/>
                <w:sz w:val="24"/>
                <w:szCs w:val="24"/>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B4F886">
            <w:pPr>
              <w:jc w:val="center"/>
              <w:rPr>
                <w:rFonts w:hint="eastAsia" w:ascii="仿宋_GB2312" w:hAnsi="宋体" w:eastAsia="仿宋_GB2312" w:cs="仿宋_GB2312"/>
                <w:i w:val="0"/>
                <w:iCs w:val="0"/>
                <w:color w:val="000000"/>
                <w:sz w:val="24"/>
                <w:szCs w:val="24"/>
                <w:u w:val="none"/>
              </w:rPr>
            </w:pPr>
          </w:p>
        </w:tc>
      </w:tr>
      <w:tr w14:paraId="24D2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54" w:hRule="atLeast"/>
          <w:jc w:val="center"/>
        </w:trPr>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366E40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新媒体宣传推广</w:t>
            </w:r>
          </w:p>
        </w:tc>
        <w:tc>
          <w:tcPr>
            <w:tcW w:w="4756" w:type="dxa"/>
            <w:tcBorders>
              <w:top w:val="single" w:color="000000" w:sz="4" w:space="0"/>
              <w:left w:val="single" w:color="000000" w:sz="4" w:space="0"/>
              <w:bottom w:val="single" w:color="000000" w:sz="4" w:space="0"/>
              <w:right w:val="single" w:color="000000" w:sz="4" w:space="0"/>
            </w:tcBorders>
            <w:shd w:val="clear"/>
            <w:vAlign w:val="center"/>
          </w:tcPr>
          <w:p w14:paraId="7C9582B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基于咪咕音乐的整体策划要求，开展微信/小红书/抖音等外部合作平台宣发及达人联动。</w:t>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要求覆盖三大平台，至少15个抖音达人、15个小红书达人。</w:t>
            </w:r>
          </w:p>
        </w:tc>
        <w:tc>
          <w:tcPr>
            <w:tcW w:w="100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CB5726">
            <w:pPr>
              <w:jc w:val="center"/>
              <w:rPr>
                <w:rFonts w:hint="eastAsia" w:ascii="仿宋_GB2312" w:hAnsi="宋体" w:eastAsia="仿宋_GB2312" w:cs="仿宋_GB2312"/>
                <w:i w:val="0"/>
                <w:iCs w:val="0"/>
                <w:color w:val="000000"/>
                <w:sz w:val="24"/>
                <w:szCs w:val="24"/>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6AF76F">
            <w:pPr>
              <w:jc w:val="center"/>
              <w:rPr>
                <w:rFonts w:hint="eastAsia" w:ascii="仿宋_GB2312" w:hAnsi="宋体" w:eastAsia="仿宋_GB2312" w:cs="仿宋_GB2312"/>
                <w:i w:val="0"/>
                <w:iCs w:val="0"/>
                <w:color w:val="000000"/>
                <w:sz w:val="24"/>
                <w:szCs w:val="24"/>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D2D351">
            <w:pPr>
              <w:jc w:val="center"/>
              <w:rPr>
                <w:rFonts w:hint="eastAsia" w:ascii="仿宋_GB2312" w:hAnsi="宋体" w:eastAsia="仿宋_GB2312" w:cs="仿宋_GB2312"/>
                <w:i w:val="0"/>
                <w:iCs w:val="0"/>
                <w:color w:val="000000"/>
                <w:sz w:val="24"/>
                <w:szCs w:val="24"/>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4D63B0">
            <w:pPr>
              <w:jc w:val="center"/>
              <w:rPr>
                <w:rFonts w:hint="eastAsia" w:ascii="仿宋_GB2312" w:hAnsi="宋体" w:eastAsia="仿宋_GB2312" w:cs="仿宋_GB2312"/>
                <w:i w:val="0"/>
                <w:iCs w:val="0"/>
                <w:color w:val="000000"/>
                <w:sz w:val="24"/>
                <w:szCs w:val="24"/>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7B1B54">
            <w:pPr>
              <w:jc w:val="center"/>
              <w:rPr>
                <w:rFonts w:hint="eastAsia" w:ascii="仿宋_GB2312" w:hAnsi="宋体" w:eastAsia="仿宋_GB2312" w:cs="仿宋_GB2312"/>
                <w:i w:val="0"/>
                <w:iCs w:val="0"/>
                <w:color w:val="000000"/>
                <w:sz w:val="24"/>
                <w:szCs w:val="24"/>
                <w:u w:val="none"/>
              </w:rPr>
            </w:pPr>
          </w:p>
        </w:tc>
      </w:tr>
      <w:tr w14:paraId="1BBC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54" w:hRule="atLeast"/>
          <w:jc w:val="center"/>
        </w:trPr>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99885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宣传视频制作</w:t>
            </w:r>
          </w:p>
        </w:tc>
        <w:tc>
          <w:tcPr>
            <w:tcW w:w="4756" w:type="dxa"/>
            <w:tcBorders>
              <w:top w:val="single" w:color="000000" w:sz="4" w:space="0"/>
              <w:left w:val="single" w:color="000000" w:sz="4" w:space="0"/>
              <w:bottom w:val="single" w:color="000000" w:sz="4" w:space="0"/>
              <w:right w:val="single" w:color="000000" w:sz="4" w:space="0"/>
            </w:tcBorders>
            <w:shd w:val="clear"/>
            <w:vAlign w:val="center"/>
          </w:tcPr>
          <w:p w14:paraId="58FAEDC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基于咪咕音乐的整体策划要求，开展指定宣传视频的实地采访、拍摄及制作，包含先导片、主宣片及主要IP活动现场采访拍摄，</w:t>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要求数量不少于9条。</w:t>
            </w:r>
          </w:p>
        </w:tc>
        <w:tc>
          <w:tcPr>
            <w:tcW w:w="100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A9C487">
            <w:pPr>
              <w:jc w:val="center"/>
              <w:rPr>
                <w:rFonts w:hint="eastAsia" w:ascii="仿宋_GB2312" w:hAnsi="宋体" w:eastAsia="仿宋_GB2312" w:cs="仿宋_GB2312"/>
                <w:i w:val="0"/>
                <w:iCs w:val="0"/>
                <w:color w:val="000000"/>
                <w:sz w:val="24"/>
                <w:szCs w:val="24"/>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242F4F">
            <w:pPr>
              <w:jc w:val="center"/>
              <w:rPr>
                <w:rFonts w:hint="eastAsia" w:ascii="仿宋_GB2312" w:hAnsi="宋体" w:eastAsia="仿宋_GB2312" w:cs="仿宋_GB2312"/>
                <w:i w:val="0"/>
                <w:iCs w:val="0"/>
                <w:color w:val="000000"/>
                <w:sz w:val="24"/>
                <w:szCs w:val="24"/>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88A9A5">
            <w:pPr>
              <w:jc w:val="center"/>
              <w:rPr>
                <w:rFonts w:hint="eastAsia" w:ascii="仿宋_GB2312" w:hAnsi="宋体" w:eastAsia="仿宋_GB2312" w:cs="仿宋_GB2312"/>
                <w:i w:val="0"/>
                <w:iCs w:val="0"/>
                <w:color w:val="000000"/>
                <w:sz w:val="24"/>
                <w:szCs w:val="24"/>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21FD8D">
            <w:pPr>
              <w:jc w:val="center"/>
              <w:rPr>
                <w:rFonts w:hint="eastAsia" w:ascii="仿宋_GB2312" w:hAnsi="宋体" w:eastAsia="仿宋_GB2312" w:cs="仿宋_GB2312"/>
                <w:i w:val="0"/>
                <w:iCs w:val="0"/>
                <w:color w:val="000000"/>
                <w:sz w:val="24"/>
                <w:szCs w:val="24"/>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364096">
            <w:pPr>
              <w:jc w:val="center"/>
              <w:rPr>
                <w:rFonts w:hint="eastAsia" w:ascii="仿宋_GB2312" w:hAnsi="宋体" w:eastAsia="仿宋_GB2312" w:cs="仿宋_GB2312"/>
                <w:i w:val="0"/>
                <w:iCs w:val="0"/>
                <w:color w:val="000000"/>
                <w:sz w:val="24"/>
                <w:szCs w:val="24"/>
                <w:u w:val="none"/>
              </w:rPr>
            </w:pPr>
          </w:p>
        </w:tc>
      </w:tr>
      <w:tr w14:paraId="35AC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8" w:hRule="atLeast"/>
          <w:jc w:val="center"/>
        </w:trPr>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D49AE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线下氛围营造</w:t>
            </w:r>
          </w:p>
        </w:tc>
        <w:tc>
          <w:tcPr>
            <w:tcW w:w="4756" w:type="dxa"/>
            <w:tcBorders>
              <w:top w:val="single" w:color="000000" w:sz="4" w:space="0"/>
              <w:left w:val="single" w:color="000000" w:sz="4" w:space="0"/>
              <w:bottom w:val="single" w:color="000000" w:sz="4" w:space="0"/>
              <w:right w:val="single" w:color="000000" w:sz="4" w:space="0"/>
            </w:tcBorders>
            <w:shd w:val="clear"/>
            <w:vAlign w:val="center"/>
          </w:tcPr>
          <w:p w14:paraId="129B5BD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基于咪咕音乐的整体策划要求，开展具体点位协调、物料制作及摆放等，</w:t>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要求投放时长可持续2个月，并包含以下媒介：</w:t>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1.省内主要商圈、城市户外大屏广告。</w:t>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2.布局灯杆旗、道旗广告（指定点位周边）。</w:t>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3.打造互动 DP 展位广告（指定点位周边）。</w:t>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4.机场、高铁的线下媒介广告（人流枢纽区域）。</w:t>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5.地铁车厢 LED屏滚动视频广告（人流枢纽区域）。</w:t>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6.公交车站台灯箱广告（人流枢纽区域）。</w:t>
            </w:r>
          </w:p>
        </w:tc>
        <w:tc>
          <w:tcPr>
            <w:tcW w:w="100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756EBC">
            <w:pPr>
              <w:jc w:val="center"/>
              <w:rPr>
                <w:rFonts w:hint="eastAsia" w:ascii="仿宋_GB2312" w:hAnsi="宋体" w:eastAsia="仿宋_GB2312" w:cs="仿宋_GB2312"/>
                <w:i w:val="0"/>
                <w:iCs w:val="0"/>
                <w:color w:val="000000"/>
                <w:sz w:val="24"/>
                <w:szCs w:val="24"/>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379DFE">
            <w:pPr>
              <w:jc w:val="center"/>
              <w:rPr>
                <w:rFonts w:hint="eastAsia" w:ascii="仿宋_GB2312" w:hAnsi="宋体" w:eastAsia="仿宋_GB2312" w:cs="仿宋_GB2312"/>
                <w:i w:val="0"/>
                <w:iCs w:val="0"/>
                <w:color w:val="000000"/>
                <w:sz w:val="24"/>
                <w:szCs w:val="24"/>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97B7B9">
            <w:pPr>
              <w:jc w:val="center"/>
              <w:rPr>
                <w:rFonts w:hint="eastAsia" w:ascii="仿宋_GB2312" w:hAnsi="宋体" w:eastAsia="仿宋_GB2312" w:cs="仿宋_GB2312"/>
                <w:i w:val="0"/>
                <w:iCs w:val="0"/>
                <w:color w:val="000000"/>
                <w:sz w:val="24"/>
                <w:szCs w:val="24"/>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3B771C">
            <w:pPr>
              <w:jc w:val="center"/>
              <w:rPr>
                <w:rFonts w:hint="eastAsia" w:ascii="仿宋_GB2312" w:hAnsi="宋体" w:eastAsia="仿宋_GB2312" w:cs="仿宋_GB2312"/>
                <w:i w:val="0"/>
                <w:iCs w:val="0"/>
                <w:color w:val="000000"/>
                <w:sz w:val="24"/>
                <w:szCs w:val="24"/>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F5F3AE">
            <w:pPr>
              <w:jc w:val="center"/>
              <w:rPr>
                <w:rFonts w:hint="eastAsia" w:ascii="仿宋_GB2312" w:hAnsi="宋体" w:eastAsia="仿宋_GB2312" w:cs="仿宋_GB2312"/>
                <w:i w:val="0"/>
                <w:iCs w:val="0"/>
                <w:color w:val="000000"/>
                <w:sz w:val="24"/>
                <w:szCs w:val="24"/>
                <w:u w:val="none"/>
              </w:rPr>
            </w:pPr>
          </w:p>
        </w:tc>
      </w:tr>
    </w:tbl>
    <w:p w14:paraId="6DAACA81">
      <w:pPr>
        <w:spacing w:line="360" w:lineRule="auto"/>
        <w:ind w:left="559" w:leftChars="266" w:firstLine="0" w:firstLineChars="0"/>
        <w:jc w:val="left"/>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注：</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1、税率：增值税税率特指增值税扣税凭证上显示的税率，如国家后续对增值税税率有进一步规定，将根据相关规定进行调整，按税率调整时，不含税价格不变。</w:t>
      </w:r>
    </w:p>
    <w:p w14:paraId="7AAF8C09">
      <w:pPr>
        <w:spacing w:line="360" w:lineRule="auto"/>
        <w:ind w:left="559" w:leftChars="266" w:firstLine="0" w:firstLineChars="0"/>
        <w:jc w:val="left"/>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2、含税单价=未含税单价*（1+增值税税率）。报价过程按照四舍五入原则最多保留三位小数。</w:t>
      </w:r>
    </w:p>
    <w:p w14:paraId="705A0225">
      <w:pPr>
        <w:spacing w:line="360" w:lineRule="auto"/>
        <w:ind w:left="559" w:leftChars="266" w:firstLine="0" w:firstLineChars="0"/>
        <w:jc w:val="left"/>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3、本项目设置含税单价最高限价，详见报价表。应答报价超过最高限价的，其应答将被否决。</w:t>
      </w:r>
    </w:p>
    <w:p w14:paraId="3F88DDE1">
      <w:pPr>
        <w:spacing w:line="360" w:lineRule="auto"/>
        <w:ind w:left="559" w:leftChars="266" w:firstLine="0" w:firstLineChars="0"/>
        <w:jc w:val="left"/>
        <w:rPr>
          <w:rFonts w:hint="default"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4、本项目报价应涵盖所有服务内容。</w:t>
      </w:r>
    </w:p>
    <w:sectPr>
      <w:headerReference r:id="rId4" w:type="default"/>
      <w:footerReference r:id="rId5"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A117">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F57A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BF57A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384C">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F54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25F54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4624C96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CEF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B2799"/>
    <w:multiLevelType w:val="singleLevel"/>
    <w:tmpl w:val="9C9B2799"/>
    <w:lvl w:ilvl="0" w:tentative="0">
      <w:start w:val="1"/>
      <w:numFmt w:val="decimal"/>
      <w:lvlText w:val="%1."/>
      <w:lvlJc w:val="left"/>
      <w:pPr>
        <w:ind w:left="425" w:hanging="425"/>
      </w:pPr>
      <w:rPr>
        <w:rFonts w:hint="default"/>
      </w:rPr>
    </w:lvl>
  </w:abstractNum>
  <w:abstractNum w:abstractNumId="1">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14FC2E3E"/>
    <w:multiLevelType w:val="singleLevel"/>
    <w:tmpl w:val="14FC2E3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762929"/>
    <w:rsid w:val="00851448"/>
    <w:rsid w:val="00980BC8"/>
    <w:rsid w:val="00C41A65"/>
    <w:rsid w:val="00F62DA8"/>
    <w:rsid w:val="01081313"/>
    <w:rsid w:val="01176EA7"/>
    <w:rsid w:val="01494ACD"/>
    <w:rsid w:val="017C7CFD"/>
    <w:rsid w:val="01B86CB1"/>
    <w:rsid w:val="01C5553E"/>
    <w:rsid w:val="01E6233D"/>
    <w:rsid w:val="01FD0FA2"/>
    <w:rsid w:val="01FE5971"/>
    <w:rsid w:val="021D07AD"/>
    <w:rsid w:val="0221551A"/>
    <w:rsid w:val="022867F0"/>
    <w:rsid w:val="02525D2D"/>
    <w:rsid w:val="02A327C7"/>
    <w:rsid w:val="02A45A0B"/>
    <w:rsid w:val="02E60631"/>
    <w:rsid w:val="02F84024"/>
    <w:rsid w:val="0310461B"/>
    <w:rsid w:val="031E65C6"/>
    <w:rsid w:val="034F1C59"/>
    <w:rsid w:val="03773E20"/>
    <w:rsid w:val="0379596D"/>
    <w:rsid w:val="03A63B37"/>
    <w:rsid w:val="03C40BD7"/>
    <w:rsid w:val="04414B19"/>
    <w:rsid w:val="044B7FA6"/>
    <w:rsid w:val="04AD1BD1"/>
    <w:rsid w:val="04C44E77"/>
    <w:rsid w:val="04ED2F17"/>
    <w:rsid w:val="04F44F52"/>
    <w:rsid w:val="04FA2D68"/>
    <w:rsid w:val="050C5CEB"/>
    <w:rsid w:val="050E4233"/>
    <w:rsid w:val="053122D0"/>
    <w:rsid w:val="055051F3"/>
    <w:rsid w:val="05903656"/>
    <w:rsid w:val="06337A87"/>
    <w:rsid w:val="067200A1"/>
    <w:rsid w:val="06723865"/>
    <w:rsid w:val="068A088D"/>
    <w:rsid w:val="06955288"/>
    <w:rsid w:val="06AB1EDD"/>
    <w:rsid w:val="06C83D54"/>
    <w:rsid w:val="06D066F6"/>
    <w:rsid w:val="06F56240"/>
    <w:rsid w:val="070B2565"/>
    <w:rsid w:val="070F4D5F"/>
    <w:rsid w:val="0773236F"/>
    <w:rsid w:val="07853FF2"/>
    <w:rsid w:val="0798023B"/>
    <w:rsid w:val="07B33FE5"/>
    <w:rsid w:val="07CB658A"/>
    <w:rsid w:val="082C4D37"/>
    <w:rsid w:val="08506FFB"/>
    <w:rsid w:val="0863224C"/>
    <w:rsid w:val="089F4799"/>
    <w:rsid w:val="08A95ADC"/>
    <w:rsid w:val="08F1576A"/>
    <w:rsid w:val="091D1F08"/>
    <w:rsid w:val="0941653B"/>
    <w:rsid w:val="09512FC9"/>
    <w:rsid w:val="095E40B7"/>
    <w:rsid w:val="09730AC2"/>
    <w:rsid w:val="098175AE"/>
    <w:rsid w:val="09890F77"/>
    <w:rsid w:val="09C10B8E"/>
    <w:rsid w:val="09D32E41"/>
    <w:rsid w:val="0A310FDA"/>
    <w:rsid w:val="0A4222CD"/>
    <w:rsid w:val="0AA43EF4"/>
    <w:rsid w:val="0ABA0FCF"/>
    <w:rsid w:val="0ABB08A3"/>
    <w:rsid w:val="0B092A20"/>
    <w:rsid w:val="0B097861"/>
    <w:rsid w:val="0B226D17"/>
    <w:rsid w:val="0B332F69"/>
    <w:rsid w:val="0B9B3F01"/>
    <w:rsid w:val="0BC6590F"/>
    <w:rsid w:val="0C2071A3"/>
    <w:rsid w:val="0C2E6B18"/>
    <w:rsid w:val="0C492254"/>
    <w:rsid w:val="0C4D2117"/>
    <w:rsid w:val="0C5E17F2"/>
    <w:rsid w:val="0C654FCB"/>
    <w:rsid w:val="0C714972"/>
    <w:rsid w:val="0CA64B14"/>
    <w:rsid w:val="0CBB1B3F"/>
    <w:rsid w:val="0CF062DA"/>
    <w:rsid w:val="0D386EBC"/>
    <w:rsid w:val="0D40656F"/>
    <w:rsid w:val="0D410C77"/>
    <w:rsid w:val="0D583071"/>
    <w:rsid w:val="0D7116ED"/>
    <w:rsid w:val="0DB2629C"/>
    <w:rsid w:val="0DBB1E39"/>
    <w:rsid w:val="0E1A7B5F"/>
    <w:rsid w:val="0E5D4EFA"/>
    <w:rsid w:val="0E5E4367"/>
    <w:rsid w:val="0E8F2773"/>
    <w:rsid w:val="0F0853AB"/>
    <w:rsid w:val="0F1F7FAA"/>
    <w:rsid w:val="0F5E01F9"/>
    <w:rsid w:val="0F7C3DCB"/>
    <w:rsid w:val="0FCA2856"/>
    <w:rsid w:val="1025013C"/>
    <w:rsid w:val="10401F77"/>
    <w:rsid w:val="104F0D37"/>
    <w:rsid w:val="108431B6"/>
    <w:rsid w:val="10A818CA"/>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BF73A6"/>
    <w:rsid w:val="11C100E3"/>
    <w:rsid w:val="11C449B6"/>
    <w:rsid w:val="120155EA"/>
    <w:rsid w:val="12065C2C"/>
    <w:rsid w:val="125434CB"/>
    <w:rsid w:val="12547960"/>
    <w:rsid w:val="128A5C1F"/>
    <w:rsid w:val="12B96010"/>
    <w:rsid w:val="12BF20C4"/>
    <w:rsid w:val="12C07EA3"/>
    <w:rsid w:val="12DE631E"/>
    <w:rsid w:val="12E03C7B"/>
    <w:rsid w:val="12F7579B"/>
    <w:rsid w:val="13143C4F"/>
    <w:rsid w:val="13230AB8"/>
    <w:rsid w:val="13604A2B"/>
    <w:rsid w:val="137D1840"/>
    <w:rsid w:val="13EC7D20"/>
    <w:rsid w:val="14296984"/>
    <w:rsid w:val="145244A3"/>
    <w:rsid w:val="14652C33"/>
    <w:rsid w:val="146F40A5"/>
    <w:rsid w:val="14AB1344"/>
    <w:rsid w:val="1509588B"/>
    <w:rsid w:val="150A0CC6"/>
    <w:rsid w:val="150C3908"/>
    <w:rsid w:val="154F136D"/>
    <w:rsid w:val="15720F1A"/>
    <w:rsid w:val="15A00DC2"/>
    <w:rsid w:val="15A65BDE"/>
    <w:rsid w:val="16253F7C"/>
    <w:rsid w:val="166170BF"/>
    <w:rsid w:val="16623626"/>
    <w:rsid w:val="16976A78"/>
    <w:rsid w:val="16A86180"/>
    <w:rsid w:val="16BF7FD2"/>
    <w:rsid w:val="17136EBE"/>
    <w:rsid w:val="173C4B1A"/>
    <w:rsid w:val="17680005"/>
    <w:rsid w:val="17D13A8A"/>
    <w:rsid w:val="17D86937"/>
    <w:rsid w:val="17E93564"/>
    <w:rsid w:val="17FA746E"/>
    <w:rsid w:val="182D66FF"/>
    <w:rsid w:val="18482E3D"/>
    <w:rsid w:val="1850547D"/>
    <w:rsid w:val="18581E15"/>
    <w:rsid w:val="186A3147"/>
    <w:rsid w:val="189D359A"/>
    <w:rsid w:val="18BE0EC7"/>
    <w:rsid w:val="18CC3E39"/>
    <w:rsid w:val="18CD2AB7"/>
    <w:rsid w:val="19170C32"/>
    <w:rsid w:val="191F2535"/>
    <w:rsid w:val="198F3BAA"/>
    <w:rsid w:val="199724DC"/>
    <w:rsid w:val="19A614B8"/>
    <w:rsid w:val="19AD1CFF"/>
    <w:rsid w:val="19AF356D"/>
    <w:rsid w:val="1A06712A"/>
    <w:rsid w:val="1A0933D9"/>
    <w:rsid w:val="1A4F5A0F"/>
    <w:rsid w:val="1A553486"/>
    <w:rsid w:val="1A9F47EB"/>
    <w:rsid w:val="1AC504AA"/>
    <w:rsid w:val="1AE87011"/>
    <w:rsid w:val="1AEC30F6"/>
    <w:rsid w:val="1B02302D"/>
    <w:rsid w:val="1B2C3D62"/>
    <w:rsid w:val="1B3C5CF6"/>
    <w:rsid w:val="1B43291B"/>
    <w:rsid w:val="1B8A408D"/>
    <w:rsid w:val="1BB13D28"/>
    <w:rsid w:val="1BC610C0"/>
    <w:rsid w:val="1BD45D7F"/>
    <w:rsid w:val="1BE40B16"/>
    <w:rsid w:val="1C3343A5"/>
    <w:rsid w:val="1C813142"/>
    <w:rsid w:val="1C9411E8"/>
    <w:rsid w:val="1CA13430"/>
    <w:rsid w:val="1CC03A12"/>
    <w:rsid w:val="1D1F30E6"/>
    <w:rsid w:val="1D2C3DCB"/>
    <w:rsid w:val="1D5675F2"/>
    <w:rsid w:val="1D5E4B4D"/>
    <w:rsid w:val="1D85674B"/>
    <w:rsid w:val="1D92281F"/>
    <w:rsid w:val="1DC36B43"/>
    <w:rsid w:val="1DE30E53"/>
    <w:rsid w:val="1DEA26C9"/>
    <w:rsid w:val="1DFB6CA8"/>
    <w:rsid w:val="1E171E3D"/>
    <w:rsid w:val="1E295F39"/>
    <w:rsid w:val="1E297926"/>
    <w:rsid w:val="1E3875B4"/>
    <w:rsid w:val="1E3B2E59"/>
    <w:rsid w:val="1E971434"/>
    <w:rsid w:val="1EB55657"/>
    <w:rsid w:val="1EC25843"/>
    <w:rsid w:val="1EF26F31"/>
    <w:rsid w:val="1F3A0DF5"/>
    <w:rsid w:val="1F3E7BA5"/>
    <w:rsid w:val="1F63536C"/>
    <w:rsid w:val="1FCF199E"/>
    <w:rsid w:val="1FD44489"/>
    <w:rsid w:val="1FDB355A"/>
    <w:rsid w:val="206052EB"/>
    <w:rsid w:val="208A041F"/>
    <w:rsid w:val="20A93CF0"/>
    <w:rsid w:val="20B1759E"/>
    <w:rsid w:val="20B95E0B"/>
    <w:rsid w:val="20C9731A"/>
    <w:rsid w:val="20D84D16"/>
    <w:rsid w:val="20E63E66"/>
    <w:rsid w:val="20FB5B06"/>
    <w:rsid w:val="20FE5145"/>
    <w:rsid w:val="20FE744A"/>
    <w:rsid w:val="21283337"/>
    <w:rsid w:val="21336DC5"/>
    <w:rsid w:val="218705A9"/>
    <w:rsid w:val="2187601D"/>
    <w:rsid w:val="21947BAB"/>
    <w:rsid w:val="21A315AE"/>
    <w:rsid w:val="21A536BC"/>
    <w:rsid w:val="21E6480C"/>
    <w:rsid w:val="220A5895"/>
    <w:rsid w:val="22372AAE"/>
    <w:rsid w:val="226C5CDE"/>
    <w:rsid w:val="22CC5DFA"/>
    <w:rsid w:val="2329565F"/>
    <w:rsid w:val="23347BE7"/>
    <w:rsid w:val="238642D3"/>
    <w:rsid w:val="23A264A3"/>
    <w:rsid w:val="23B97CFA"/>
    <w:rsid w:val="23D51086"/>
    <w:rsid w:val="23D923B3"/>
    <w:rsid w:val="24082DE2"/>
    <w:rsid w:val="241D40F7"/>
    <w:rsid w:val="24313505"/>
    <w:rsid w:val="244B1B89"/>
    <w:rsid w:val="2480073C"/>
    <w:rsid w:val="24B04DB0"/>
    <w:rsid w:val="24B72417"/>
    <w:rsid w:val="24DE3325"/>
    <w:rsid w:val="24FF2E53"/>
    <w:rsid w:val="25253091"/>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E50D7B"/>
    <w:rsid w:val="27EC2D5C"/>
    <w:rsid w:val="284302CA"/>
    <w:rsid w:val="28514C08"/>
    <w:rsid w:val="28750179"/>
    <w:rsid w:val="28816600"/>
    <w:rsid w:val="28CD1096"/>
    <w:rsid w:val="28D14C3B"/>
    <w:rsid w:val="2972066D"/>
    <w:rsid w:val="29A64132"/>
    <w:rsid w:val="29F413A1"/>
    <w:rsid w:val="29F42574"/>
    <w:rsid w:val="2A0D16B0"/>
    <w:rsid w:val="2A19614D"/>
    <w:rsid w:val="2A660668"/>
    <w:rsid w:val="2A6A6A0E"/>
    <w:rsid w:val="2A7E3A46"/>
    <w:rsid w:val="2A952904"/>
    <w:rsid w:val="2ABD0727"/>
    <w:rsid w:val="2B7759E6"/>
    <w:rsid w:val="2B795EE5"/>
    <w:rsid w:val="2B7A6372"/>
    <w:rsid w:val="2B7A7060"/>
    <w:rsid w:val="2B883191"/>
    <w:rsid w:val="2BFC2575"/>
    <w:rsid w:val="2C046306"/>
    <w:rsid w:val="2C802E46"/>
    <w:rsid w:val="2C8F3869"/>
    <w:rsid w:val="2CA97459"/>
    <w:rsid w:val="2D045C82"/>
    <w:rsid w:val="2D2D4E72"/>
    <w:rsid w:val="2D355CD5"/>
    <w:rsid w:val="2D670A59"/>
    <w:rsid w:val="2D7628FE"/>
    <w:rsid w:val="2D7F0EA3"/>
    <w:rsid w:val="2DA17561"/>
    <w:rsid w:val="2E136171"/>
    <w:rsid w:val="2E176FC8"/>
    <w:rsid w:val="2E833928"/>
    <w:rsid w:val="2E8E614B"/>
    <w:rsid w:val="2E8F637B"/>
    <w:rsid w:val="2EBD65E6"/>
    <w:rsid w:val="2EDD162D"/>
    <w:rsid w:val="2EEF2C8F"/>
    <w:rsid w:val="2EF963CD"/>
    <w:rsid w:val="2F296999"/>
    <w:rsid w:val="2F982F1C"/>
    <w:rsid w:val="2FC67D67"/>
    <w:rsid w:val="2FED7C16"/>
    <w:rsid w:val="300D46D6"/>
    <w:rsid w:val="304D1338"/>
    <w:rsid w:val="304F0124"/>
    <w:rsid w:val="305C35BB"/>
    <w:rsid w:val="305F5E2D"/>
    <w:rsid w:val="30974EA5"/>
    <w:rsid w:val="314D7BF8"/>
    <w:rsid w:val="31694E12"/>
    <w:rsid w:val="318F27FC"/>
    <w:rsid w:val="319C765A"/>
    <w:rsid w:val="31C74092"/>
    <w:rsid w:val="31E87F07"/>
    <w:rsid w:val="31F6017D"/>
    <w:rsid w:val="323F45A2"/>
    <w:rsid w:val="331D0E28"/>
    <w:rsid w:val="332267A3"/>
    <w:rsid w:val="336153C3"/>
    <w:rsid w:val="336B0809"/>
    <w:rsid w:val="33BB75D8"/>
    <w:rsid w:val="33C1727E"/>
    <w:rsid w:val="33E51880"/>
    <w:rsid w:val="340E6862"/>
    <w:rsid w:val="34245624"/>
    <w:rsid w:val="346B298C"/>
    <w:rsid w:val="34883F28"/>
    <w:rsid w:val="34A8127D"/>
    <w:rsid w:val="34C7526C"/>
    <w:rsid w:val="34CA7A07"/>
    <w:rsid w:val="34DB4019"/>
    <w:rsid w:val="34DD2410"/>
    <w:rsid w:val="35330A2E"/>
    <w:rsid w:val="354118F3"/>
    <w:rsid w:val="35447798"/>
    <w:rsid w:val="355E5FB8"/>
    <w:rsid w:val="3586109B"/>
    <w:rsid w:val="35AD335B"/>
    <w:rsid w:val="35C92FA9"/>
    <w:rsid w:val="35CA338A"/>
    <w:rsid w:val="35D57138"/>
    <w:rsid w:val="35F036F8"/>
    <w:rsid w:val="35F7741B"/>
    <w:rsid w:val="35F9034E"/>
    <w:rsid w:val="36095AC6"/>
    <w:rsid w:val="36417E20"/>
    <w:rsid w:val="364A1A5A"/>
    <w:rsid w:val="368F1DD0"/>
    <w:rsid w:val="36B420F0"/>
    <w:rsid w:val="36DD577B"/>
    <w:rsid w:val="36F154C9"/>
    <w:rsid w:val="36F95D83"/>
    <w:rsid w:val="372B740E"/>
    <w:rsid w:val="37494288"/>
    <w:rsid w:val="374962FC"/>
    <w:rsid w:val="374C1392"/>
    <w:rsid w:val="37515CAB"/>
    <w:rsid w:val="375F50D6"/>
    <w:rsid w:val="37674D18"/>
    <w:rsid w:val="37737C8C"/>
    <w:rsid w:val="378C567A"/>
    <w:rsid w:val="388619C8"/>
    <w:rsid w:val="388A2724"/>
    <w:rsid w:val="391D4D4F"/>
    <w:rsid w:val="391F0198"/>
    <w:rsid w:val="392A6B21"/>
    <w:rsid w:val="397519F1"/>
    <w:rsid w:val="39876B07"/>
    <w:rsid w:val="3991089E"/>
    <w:rsid w:val="39EA7D20"/>
    <w:rsid w:val="39F230AE"/>
    <w:rsid w:val="3A2674FF"/>
    <w:rsid w:val="3A3A0482"/>
    <w:rsid w:val="3A552DB1"/>
    <w:rsid w:val="3A5E08C6"/>
    <w:rsid w:val="3A6A044C"/>
    <w:rsid w:val="3AAF1923"/>
    <w:rsid w:val="3ABE5312"/>
    <w:rsid w:val="3AE5468D"/>
    <w:rsid w:val="3B041BC7"/>
    <w:rsid w:val="3B2D375C"/>
    <w:rsid w:val="3B7E28A9"/>
    <w:rsid w:val="3BC74FDF"/>
    <w:rsid w:val="3BD91954"/>
    <w:rsid w:val="3BED2B58"/>
    <w:rsid w:val="3BFC1754"/>
    <w:rsid w:val="3C940BED"/>
    <w:rsid w:val="3CB43353"/>
    <w:rsid w:val="3D1D3D2A"/>
    <w:rsid w:val="3D274253"/>
    <w:rsid w:val="3D387842"/>
    <w:rsid w:val="3D3A3659"/>
    <w:rsid w:val="3D475CED"/>
    <w:rsid w:val="3D4A5E08"/>
    <w:rsid w:val="3D8C3453"/>
    <w:rsid w:val="3D954E00"/>
    <w:rsid w:val="3D9D7DD9"/>
    <w:rsid w:val="3DF3752D"/>
    <w:rsid w:val="3E0C2D77"/>
    <w:rsid w:val="3E36269E"/>
    <w:rsid w:val="3E3839DE"/>
    <w:rsid w:val="3E5C671D"/>
    <w:rsid w:val="3E772273"/>
    <w:rsid w:val="3E7D18C3"/>
    <w:rsid w:val="3EAD617A"/>
    <w:rsid w:val="3EB47508"/>
    <w:rsid w:val="3F0D4E6A"/>
    <w:rsid w:val="3F2420A0"/>
    <w:rsid w:val="3F484185"/>
    <w:rsid w:val="3F915DDF"/>
    <w:rsid w:val="3F9E7819"/>
    <w:rsid w:val="3FA55549"/>
    <w:rsid w:val="3FC46CFF"/>
    <w:rsid w:val="3FC91D2C"/>
    <w:rsid w:val="3FD44734"/>
    <w:rsid w:val="3FE55926"/>
    <w:rsid w:val="40282516"/>
    <w:rsid w:val="403A6391"/>
    <w:rsid w:val="40474D39"/>
    <w:rsid w:val="40545C87"/>
    <w:rsid w:val="409B387A"/>
    <w:rsid w:val="40FA374E"/>
    <w:rsid w:val="40FE4B88"/>
    <w:rsid w:val="410F6C78"/>
    <w:rsid w:val="41624024"/>
    <w:rsid w:val="41760AA5"/>
    <w:rsid w:val="41B16900"/>
    <w:rsid w:val="41CC4E5D"/>
    <w:rsid w:val="41EE1C02"/>
    <w:rsid w:val="423170C2"/>
    <w:rsid w:val="42497F67"/>
    <w:rsid w:val="42607140"/>
    <w:rsid w:val="428447B0"/>
    <w:rsid w:val="42A05195"/>
    <w:rsid w:val="42A1121C"/>
    <w:rsid w:val="42A931D5"/>
    <w:rsid w:val="42DE5F85"/>
    <w:rsid w:val="42E2767A"/>
    <w:rsid w:val="43430E5B"/>
    <w:rsid w:val="434352D5"/>
    <w:rsid w:val="43820EC1"/>
    <w:rsid w:val="43A35D9D"/>
    <w:rsid w:val="43A476D0"/>
    <w:rsid w:val="44335DEB"/>
    <w:rsid w:val="446D4091"/>
    <w:rsid w:val="4504461A"/>
    <w:rsid w:val="45D244ED"/>
    <w:rsid w:val="45EF3DEE"/>
    <w:rsid w:val="45F2680F"/>
    <w:rsid w:val="464D317F"/>
    <w:rsid w:val="467D55CB"/>
    <w:rsid w:val="46A4669E"/>
    <w:rsid w:val="46F16D86"/>
    <w:rsid w:val="471C2EC3"/>
    <w:rsid w:val="476E1996"/>
    <w:rsid w:val="479F0F41"/>
    <w:rsid w:val="47EF7803"/>
    <w:rsid w:val="480B1106"/>
    <w:rsid w:val="48257126"/>
    <w:rsid w:val="482C45B3"/>
    <w:rsid w:val="484E1AC4"/>
    <w:rsid w:val="48541414"/>
    <w:rsid w:val="48FB6EA2"/>
    <w:rsid w:val="49555444"/>
    <w:rsid w:val="49706721"/>
    <w:rsid w:val="49913F56"/>
    <w:rsid w:val="49CA5E32"/>
    <w:rsid w:val="4AAE43DF"/>
    <w:rsid w:val="4AEF0EBE"/>
    <w:rsid w:val="4B055DEA"/>
    <w:rsid w:val="4B061819"/>
    <w:rsid w:val="4B291FAD"/>
    <w:rsid w:val="4B34271B"/>
    <w:rsid w:val="4B4B5EAD"/>
    <w:rsid w:val="4B595731"/>
    <w:rsid w:val="4B62209A"/>
    <w:rsid w:val="4B8819F0"/>
    <w:rsid w:val="4B9A2872"/>
    <w:rsid w:val="4BB02E05"/>
    <w:rsid w:val="4BC44B03"/>
    <w:rsid w:val="4BEB49FB"/>
    <w:rsid w:val="4BF6672E"/>
    <w:rsid w:val="4C115F9A"/>
    <w:rsid w:val="4C5378A6"/>
    <w:rsid w:val="4CEB1458"/>
    <w:rsid w:val="4D027E3D"/>
    <w:rsid w:val="4D14727D"/>
    <w:rsid w:val="4D2E7ACC"/>
    <w:rsid w:val="4D3D2042"/>
    <w:rsid w:val="4D7C62C4"/>
    <w:rsid w:val="4D9C6592"/>
    <w:rsid w:val="4DC87E42"/>
    <w:rsid w:val="4DDB4DA4"/>
    <w:rsid w:val="4DE754BB"/>
    <w:rsid w:val="4DF8011D"/>
    <w:rsid w:val="4E235B10"/>
    <w:rsid w:val="4E500DAD"/>
    <w:rsid w:val="4E726A98"/>
    <w:rsid w:val="4E876D2E"/>
    <w:rsid w:val="4EAB4500"/>
    <w:rsid w:val="4EAF47F1"/>
    <w:rsid w:val="4F22505D"/>
    <w:rsid w:val="4F682BA7"/>
    <w:rsid w:val="4FE258BE"/>
    <w:rsid w:val="4FFB36B7"/>
    <w:rsid w:val="4FFC2ABD"/>
    <w:rsid w:val="504F2A30"/>
    <w:rsid w:val="506D02DC"/>
    <w:rsid w:val="507A449F"/>
    <w:rsid w:val="50B42B73"/>
    <w:rsid w:val="50FB36C9"/>
    <w:rsid w:val="51231E30"/>
    <w:rsid w:val="512C25BD"/>
    <w:rsid w:val="51710DB4"/>
    <w:rsid w:val="51AC6F62"/>
    <w:rsid w:val="51D526C0"/>
    <w:rsid w:val="51D57A6A"/>
    <w:rsid w:val="522A20A6"/>
    <w:rsid w:val="525F5C15"/>
    <w:rsid w:val="527402A2"/>
    <w:rsid w:val="52BF66E6"/>
    <w:rsid w:val="52C07AD2"/>
    <w:rsid w:val="52CB656F"/>
    <w:rsid w:val="52DC4EDD"/>
    <w:rsid w:val="52F25D4B"/>
    <w:rsid w:val="53065A01"/>
    <w:rsid w:val="53080FC6"/>
    <w:rsid w:val="53351557"/>
    <w:rsid w:val="534D55F5"/>
    <w:rsid w:val="539A4E6F"/>
    <w:rsid w:val="53A94D0A"/>
    <w:rsid w:val="541D2F13"/>
    <w:rsid w:val="545C2EE9"/>
    <w:rsid w:val="54927B75"/>
    <w:rsid w:val="54C3776F"/>
    <w:rsid w:val="54D84738"/>
    <w:rsid w:val="55565F2B"/>
    <w:rsid w:val="555F281F"/>
    <w:rsid w:val="55651104"/>
    <w:rsid w:val="556E620B"/>
    <w:rsid w:val="55CF47D0"/>
    <w:rsid w:val="56431446"/>
    <w:rsid w:val="565F14EE"/>
    <w:rsid w:val="56E02076"/>
    <w:rsid w:val="570D6EF5"/>
    <w:rsid w:val="57147ABD"/>
    <w:rsid w:val="57880124"/>
    <w:rsid w:val="579C690E"/>
    <w:rsid w:val="58014CEF"/>
    <w:rsid w:val="58030761"/>
    <w:rsid w:val="589139F6"/>
    <w:rsid w:val="58AD704A"/>
    <w:rsid w:val="58E81E30"/>
    <w:rsid w:val="59081E8F"/>
    <w:rsid w:val="591250FF"/>
    <w:rsid w:val="59232E69"/>
    <w:rsid w:val="593A46A6"/>
    <w:rsid w:val="59854D6E"/>
    <w:rsid w:val="59A72B67"/>
    <w:rsid w:val="59D137D6"/>
    <w:rsid w:val="59D6612D"/>
    <w:rsid w:val="5A9E542E"/>
    <w:rsid w:val="5ADC2EAC"/>
    <w:rsid w:val="5ADE798F"/>
    <w:rsid w:val="5AE03627"/>
    <w:rsid w:val="5B13515F"/>
    <w:rsid w:val="5B654DF2"/>
    <w:rsid w:val="5BA47316"/>
    <w:rsid w:val="5BD26DC8"/>
    <w:rsid w:val="5C5E5906"/>
    <w:rsid w:val="5C714ADB"/>
    <w:rsid w:val="5CAE2D6C"/>
    <w:rsid w:val="5CF64412"/>
    <w:rsid w:val="5D5044C5"/>
    <w:rsid w:val="5D606CF8"/>
    <w:rsid w:val="5D6A3EFC"/>
    <w:rsid w:val="5D867E6A"/>
    <w:rsid w:val="5DB20425"/>
    <w:rsid w:val="5DBF5043"/>
    <w:rsid w:val="5DD13F99"/>
    <w:rsid w:val="5E251431"/>
    <w:rsid w:val="5E2A6034"/>
    <w:rsid w:val="5E3E6996"/>
    <w:rsid w:val="5E474642"/>
    <w:rsid w:val="5E556C26"/>
    <w:rsid w:val="5E5F1420"/>
    <w:rsid w:val="5E764628"/>
    <w:rsid w:val="5EE43C8B"/>
    <w:rsid w:val="5EEF08B6"/>
    <w:rsid w:val="5F5C5326"/>
    <w:rsid w:val="5F5D1995"/>
    <w:rsid w:val="5F6819E2"/>
    <w:rsid w:val="604A426A"/>
    <w:rsid w:val="605738FC"/>
    <w:rsid w:val="60923A3E"/>
    <w:rsid w:val="60B06CDD"/>
    <w:rsid w:val="61156BC5"/>
    <w:rsid w:val="61265095"/>
    <w:rsid w:val="615A6480"/>
    <w:rsid w:val="61A222DE"/>
    <w:rsid w:val="61A84276"/>
    <w:rsid w:val="61D1615A"/>
    <w:rsid w:val="61F415C1"/>
    <w:rsid w:val="61F702C1"/>
    <w:rsid w:val="62221E19"/>
    <w:rsid w:val="625B18C5"/>
    <w:rsid w:val="629B1C54"/>
    <w:rsid w:val="62AC11AF"/>
    <w:rsid w:val="62F86F8D"/>
    <w:rsid w:val="63040FB0"/>
    <w:rsid w:val="634035CD"/>
    <w:rsid w:val="63444D36"/>
    <w:rsid w:val="63610430"/>
    <w:rsid w:val="63624F16"/>
    <w:rsid w:val="636B3D8A"/>
    <w:rsid w:val="63827F32"/>
    <w:rsid w:val="63B15515"/>
    <w:rsid w:val="63BA4B98"/>
    <w:rsid w:val="64236413"/>
    <w:rsid w:val="6424735F"/>
    <w:rsid w:val="643B2DBE"/>
    <w:rsid w:val="644D2E33"/>
    <w:rsid w:val="64565F46"/>
    <w:rsid w:val="64D540DD"/>
    <w:rsid w:val="65053D6A"/>
    <w:rsid w:val="651920CD"/>
    <w:rsid w:val="65233E90"/>
    <w:rsid w:val="65257F82"/>
    <w:rsid w:val="652F179F"/>
    <w:rsid w:val="654F629E"/>
    <w:rsid w:val="656541AE"/>
    <w:rsid w:val="6577481E"/>
    <w:rsid w:val="658C6239"/>
    <w:rsid w:val="65CF3C36"/>
    <w:rsid w:val="663403FA"/>
    <w:rsid w:val="664A412A"/>
    <w:rsid w:val="664D3C1B"/>
    <w:rsid w:val="66575F5A"/>
    <w:rsid w:val="665B6338"/>
    <w:rsid w:val="6667335E"/>
    <w:rsid w:val="66AB6A9E"/>
    <w:rsid w:val="66CE0410"/>
    <w:rsid w:val="66E00A78"/>
    <w:rsid w:val="675E5587"/>
    <w:rsid w:val="67602FBE"/>
    <w:rsid w:val="67943031"/>
    <w:rsid w:val="681D1BAA"/>
    <w:rsid w:val="68242ED6"/>
    <w:rsid w:val="682D0E11"/>
    <w:rsid w:val="683323A7"/>
    <w:rsid w:val="6838772E"/>
    <w:rsid w:val="687A063E"/>
    <w:rsid w:val="68B3273C"/>
    <w:rsid w:val="68B73071"/>
    <w:rsid w:val="68C33D20"/>
    <w:rsid w:val="69416106"/>
    <w:rsid w:val="69547558"/>
    <w:rsid w:val="696B3235"/>
    <w:rsid w:val="69C430DE"/>
    <w:rsid w:val="69E75EFB"/>
    <w:rsid w:val="69F820EF"/>
    <w:rsid w:val="6A055A0F"/>
    <w:rsid w:val="6A1F142A"/>
    <w:rsid w:val="6A1F58CE"/>
    <w:rsid w:val="6A7309D9"/>
    <w:rsid w:val="6A781771"/>
    <w:rsid w:val="6A7A019A"/>
    <w:rsid w:val="6A83679D"/>
    <w:rsid w:val="6AA87672"/>
    <w:rsid w:val="6B1721F5"/>
    <w:rsid w:val="6B261E64"/>
    <w:rsid w:val="6B363D1E"/>
    <w:rsid w:val="6B9C2E4F"/>
    <w:rsid w:val="6BD21306"/>
    <w:rsid w:val="6C011003"/>
    <w:rsid w:val="6C012A6B"/>
    <w:rsid w:val="6C870873"/>
    <w:rsid w:val="6C89202F"/>
    <w:rsid w:val="6CB77D0C"/>
    <w:rsid w:val="6CD372F2"/>
    <w:rsid w:val="6CE24BC7"/>
    <w:rsid w:val="6CEC6A7E"/>
    <w:rsid w:val="6D061D42"/>
    <w:rsid w:val="6D5D4F5B"/>
    <w:rsid w:val="6D8211E9"/>
    <w:rsid w:val="6DA440C1"/>
    <w:rsid w:val="6DA45BC5"/>
    <w:rsid w:val="6DC216F4"/>
    <w:rsid w:val="6DC26A32"/>
    <w:rsid w:val="6E064D3D"/>
    <w:rsid w:val="6E09429D"/>
    <w:rsid w:val="6E3F71CE"/>
    <w:rsid w:val="6E5612DC"/>
    <w:rsid w:val="6E5C0939"/>
    <w:rsid w:val="6E8D72AA"/>
    <w:rsid w:val="6E9D2B39"/>
    <w:rsid w:val="6E9F26AC"/>
    <w:rsid w:val="6F0119B9"/>
    <w:rsid w:val="6F026887"/>
    <w:rsid w:val="6F03428F"/>
    <w:rsid w:val="6F0532E4"/>
    <w:rsid w:val="6F086FB9"/>
    <w:rsid w:val="6F3239AE"/>
    <w:rsid w:val="6F571A35"/>
    <w:rsid w:val="6F7C38BE"/>
    <w:rsid w:val="6FBD2C35"/>
    <w:rsid w:val="6FCB67C2"/>
    <w:rsid w:val="6FCC3E02"/>
    <w:rsid w:val="70535910"/>
    <w:rsid w:val="70725DB1"/>
    <w:rsid w:val="70A771E4"/>
    <w:rsid w:val="70CF785C"/>
    <w:rsid w:val="71032582"/>
    <w:rsid w:val="71BC7EA6"/>
    <w:rsid w:val="71CA236E"/>
    <w:rsid w:val="71F11E2B"/>
    <w:rsid w:val="71F94C57"/>
    <w:rsid w:val="721101F2"/>
    <w:rsid w:val="722B2B20"/>
    <w:rsid w:val="725928EB"/>
    <w:rsid w:val="725B5425"/>
    <w:rsid w:val="72AC4F50"/>
    <w:rsid w:val="72BD3ED6"/>
    <w:rsid w:val="72C53260"/>
    <w:rsid w:val="72C9287B"/>
    <w:rsid w:val="73214465"/>
    <w:rsid w:val="73266021"/>
    <w:rsid w:val="734B42E4"/>
    <w:rsid w:val="7384074B"/>
    <w:rsid w:val="73AE7650"/>
    <w:rsid w:val="73B85FDF"/>
    <w:rsid w:val="73C155E5"/>
    <w:rsid w:val="73C912F7"/>
    <w:rsid w:val="740708C4"/>
    <w:rsid w:val="740764DC"/>
    <w:rsid w:val="74606B9C"/>
    <w:rsid w:val="747800B5"/>
    <w:rsid w:val="74C7766F"/>
    <w:rsid w:val="75087038"/>
    <w:rsid w:val="752673EF"/>
    <w:rsid w:val="75794FEA"/>
    <w:rsid w:val="758078ED"/>
    <w:rsid w:val="75894543"/>
    <w:rsid w:val="75F40CBA"/>
    <w:rsid w:val="75F41B28"/>
    <w:rsid w:val="76054D66"/>
    <w:rsid w:val="7616425B"/>
    <w:rsid w:val="76A333E3"/>
    <w:rsid w:val="76A765B1"/>
    <w:rsid w:val="76C80E3D"/>
    <w:rsid w:val="76D410CD"/>
    <w:rsid w:val="76D46970"/>
    <w:rsid w:val="770D7109"/>
    <w:rsid w:val="770F1644"/>
    <w:rsid w:val="77111D53"/>
    <w:rsid w:val="771A67EA"/>
    <w:rsid w:val="775B1D47"/>
    <w:rsid w:val="77A17922"/>
    <w:rsid w:val="77C04AB5"/>
    <w:rsid w:val="77E57F6C"/>
    <w:rsid w:val="77E722FD"/>
    <w:rsid w:val="77EB6DF0"/>
    <w:rsid w:val="78142F38"/>
    <w:rsid w:val="784A19AB"/>
    <w:rsid w:val="786B73B3"/>
    <w:rsid w:val="7872034C"/>
    <w:rsid w:val="78792D38"/>
    <w:rsid w:val="78A1246F"/>
    <w:rsid w:val="792D4EF4"/>
    <w:rsid w:val="79450A5E"/>
    <w:rsid w:val="794C6C27"/>
    <w:rsid w:val="795F1120"/>
    <w:rsid w:val="799B231B"/>
    <w:rsid w:val="79CB343D"/>
    <w:rsid w:val="79DD7B9A"/>
    <w:rsid w:val="79FC52E4"/>
    <w:rsid w:val="7A307895"/>
    <w:rsid w:val="7A4D3D91"/>
    <w:rsid w:val="7A6173FA"/>
    <w:rsid w:val="7A8B21A4"/>
    <w:rsid w:val="7A8B6668"/>
    <w:rsid w:val="7AA43404"/>
    <w:rsid w:val="7ACA7190"/>
    <w:rsid w:val="7AD04548"/>
    <w:rsid w:val="7AD771F9"/>
    <w:rsid w:val="7B097E4E"/>
    <w:rsid w:val="7B0E1F30"/>
    <w:rsid w:val="7B18405C"/>
    <w:rsid w:val="7B1C3CBF"/>
    <w:rsid w:val="7B3E7DFA"/>
    <w:rsid w:val="7B43337F"/>
    <w:rsid w:val="7B4428FF"/>
    <w:rsid w:val="7B534161"/>
    <w:rsid w:val="7B7A6707"/>
    <w:rsid w:val="7B960D7E"/>
    <w:rsid w:val="7BF803A1"/>
    <w:rsid w:val="7BFD37B1"/>
    <w:rsid w:val="7C2F1EF2"/>
    <w:rsid w:val="7C7B2E38"/>
    <w:rsid w:val="7C8842BC"/>
    <w:rsid w:val="7D1131C0"/>
    <w:rsid w:val="7D190786"/>
    <w:rsid w:val="7D514392"/>
    <w:rsid w:val="7D95511D"/>
    <w:rsid w:val="7D9E518D"/>
    <w:rsid w:val="7DAE0FEB"/>
    <w:rsid w:val="7DBF3B14"/>
    <w:rsid w:val="7DCB6BB3"/>
    <w:rsid w:val="7DD24CD9"/>
    <w:rsid w:val="7E3F39F1"/>
    <w:rsid w:val="7E453E18"/>
    <w:rsid w:val="7E8C4537"/>
    <w:rsid w:val="7EBE7234"/>
    <w:rsid w:val="7EC03750"/>
    <w:rsid w:val="7EF71189"/>
    <w:rsid w:val="7EFD24D1"/>
    <w:rsid w:val="7F0B4F92"/>
    <w:rsid w:val="7F354044"/>
    <w:rsid w:val="7F71790B"/>
    <w:rsid w:val="7F776699"/>
    <w:rsid w:val="7F894657"/>
    <w:rsid w:val="7F8D6886"/>
    <w:rsid w:val="7F8F0656"/>
    <w:rsid w:val="7FBD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4"/>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3"/>
    <w:qFormat/>
    <w:uiPriority w:val="0"/>
    <w:rPr>
      <w:rFonts w:eastAsia="黑体"/>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2083</Words>
  <Characters>2363</Characters>
  <Lines>0</Lines>
  <Paragraphs>0</Paragraphs>
  <TotalTime>0</TotalTime>
  <ScaleCrop>false</ScaleCrop>
  <LinksUpToDate>false</LinksUpToDate>
  <CharactersWithSpaces>2951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20230310</cp:lastModifiedBy>
  <dcterms:modified xsi:type="dcterms:W3CDTF">2025-09-19T08:50:10Z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15F743E6DF2447A8AF02F4B1BE463895_13</vt:lpwstr>
  </property>
  <property fmtid="{D5CDD505-2E9C-101B-9397-08002B2CF9AE}" pid="4" name="KSOTemplateDocerSaveRecord">
    <vt:lpwstr>eyJoZGlkIjoiOTE1N2ZjNTZhMTIwZTc1ZWY1NGZkOWQ1YjlhZjJiYzUiLCJ1c2VySWQiOiI1ODczOTI1MzYifQ==</vt:lpwstr>
  </property>
</Properties>
</file>