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7221B">
      <w:pPr>
        <w:pStyle w:val="2"/>
        <w:numPr>
          <w:ilvl w:val="0"/>
          <w:numId w:val="0"/>
        </w:numPr>
        <w:bidi w:val="0"/>
        <w:ind w:leftChars="0"/>
        <w:jc w:val="both"/>
        <w:rPr>
          <w:rFonts w:hint="eastAsia"/>
          <w:highlight w:val="none"/>
          <w:lang w:val="en-US" w:eastAsia="zh-CN"/>
        </w:rPr>
      </w:pPr>
      <w:bookmarkStart w:id="0" w:name="_Toc27082"/>
      <w:bookmarkStart w:id="1" w:name="_Toc127192856"/>
      <w:bookmarkStart w:id="2" w:name="_Toc135749939"/>
      <w:bookmarkStart w:id="3" w:name="_Toc25646"/>
      <w:bookmarkStart w:id="4" w:name="_Toc8261"/>
      <w:bookmarkStart w:id="5" w:name="_Toc27281"/>
      <w:r>
        <w:rPr>
          <w:rFonts w:hint="eastAsia"/>
          <w:highlight w:val="none"/>
          <w:lang w:val="en-US" w:eastAsia="zh-CN"/>
        </w:rPr>
        <w:t>应答文件格式</w:t>
      </w:r>
      <w:bookmarkEnd w:id="0"/>
      <w:bookmarkEnd w:id="1"/>
      <w:bookmarkEnd w:id="2"/>
      <w:bookmarkEnd w:id="3"/>
      <w:bookmarkEnd w:id="4"/>
      <w:bookmarkEnd w:id="5"/>
    </w:p>
    <w:p w14:paraId="7FFAA33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p>
    <w:p w14:paraId="11C6621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p>
    <w:p w14:paraId="220A2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w:t>
      </w:r>
      <w:bookmarkStart w:id="18" w:name="_GoBack"/>
      <w:r>
        <w:rPr>
          <w:rFonts w:hint="eastAsia" w:eastAsia="黑体" w:cstheme="minorBidi"/>
          <w:bCs/>
          <w:kern w:val="44"/>
          <w:sz w:val="30"/>
          <w:szCs w:val="44"/>
          <w:highlight w:val="none"/>
          <w:lang w:val="en-US" w:eastAsia="zh-CN" w:bidi="ar-SA"/>
        </w:rPr>
        <w:t>2025-2026年会员拓新宣发合作行业短信</w:t>
      </w:r>
      <w:bookmarkEnd w:id="18"/>
      <w:r>
        <w:rPr>
          <w:rFonts w:hint="eastAsia" w:eastAsia="黑体" w:cstheme="minorBidi"/>
          <w:bCs/>
          <w:kern w:val="44"/>
          <w:sz w:val="30"/>
          <w:szCs w:val="44"/>
          <w:highlight w:val="none"/>
          <w:lang w:val="en-US" w:eastAsia="zh-CN" w:bidi="ar-SA"/>
        </w:rPr>
        <w:t>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14:paraId="4D0CC11C">
      <w:pPr>
        <w:pStyle w:val="8"/>
        <w:numPr>
          <w:ilvl w:val="5"/>
          <w:numId w:val="0"/>
        </w:numPr>
        <w:bidi w:val="0"/>
        <w:ind w:left="402" w:leftChars="0"/>
        <w:rPr>
          <w:rFonts w:hint="eastAsia" w:ascii="宋体" w:hAnsi="宋体" w:eastAsia="宋体" w:cs="宋体"/>
          <w:sz w:val="28"/>
          <w:szCs w:val="28"/>
          <w:highlight w:val="none"/>
        </w:rPr>
      </w:pPr>
    </w:p>
    <w:p w14:paraId="75A7DD9F">
      <w:pPr>
        <w:rPr>
          <w:rFonts w:hint="eastAsia" w:ascii="宋体" w:hAnsi="宋体" w:eastAsia="宋体" w:cs="宋体"/>
          <w:sz w:val="28"/>
          <w:szCs w:val="28"/>
        </w:rPr>
      </w:pPr>
    </w:p>
    <w:p w14:paraId="5AF78DC9">
      <w:pPr>
        <w:rPr>
          <w:rFonts w:hint="eastAsia" w:ascii="宋体" w:hAnsi="宋体" w:eastAsia="宋体" w:cs="宋体"/>
          <w:sz w:val="28"/>
          <w:szCs w:val="28"/>
          <w:highlight w:val="none"/>
        </w:rPr>
      </w:pPr>
    </w:p>
    <w:p w14:paraId="3BF166FF">
      <w:pPr>
        <w:pStyle w:val="14"/>
        <w:rPr>
          <w:rFonts w:hint="eastAsia" w:ascii="宋体" w:hAnsi="宋体" w:eastAsia="宋体" w:cs="宋体"/>
          <w:sz w:val="28"/>
          <w:szCs w:val="28"/>
          <w:highlight w:val="none"/>
        </w:rPr>
      </w:pPr>
    </w:p>
    <w:p w14:paraId="436677F5">
      <w:pPr>
        <w:wordWrap w:val="0"/>
        <w:adjustRightInd w:val="0"/>
        <w:snapToGrid w:val="0"/>
        <w:spacing w:line="360" w:lineRule="auto"/>
        <w:jc w:val="center"/>
        <w:outlineLvl w:val="0"/>
        <w:rPr>
          <w:rFonts w:hint="eastAsia" w:ascii="宋体" w:hAnsi="宋体" w:eastAsia="宋体" w:cs="宋体"/>
          <w:sz w:val="36"/>
          <w:szCs w:val="36"/>
          <w:highlight w:val="none"/>
          <w:lang w:val="en-US" w:eastAsia="zh-CN"/>
        </w:rPr>
      </w:pPr>
      <w:bookmarkStart w:id="6" w:name="_Toc23287"/>
      <w:bookmarkStart w:id="7" w:name="_Toc8692"/>
      <w:r>
        <w:rPr>
          <w:rFonts w:hint="eastAsia" w:ascii="宋体" w:hAnsi="宋体" w:eastAsia="宋体" w:cs="宋体"/>
          <w:sz w:val="36"/>
          <w:szCs w:val="36"/>
          <w:highlight w:val="none"/>
          <w:lang w:val="en-US" w:eastAsia="zh-CN"/>
        </w:rPr>
        <w:t>技术规范书</w:t>
      </w:r>
      <w:bookmarkEnd w:id="6"/>
      <w:bookmarkEnd w:id="7"/>
    </w:p>
    <w:p w14:paraId="1FA570B2">
      <w:pPr>
        <w:wordWrap w:val="0"/>
        <w:adjustRightInd w:val="0"/>
        <w:snapToGrid w:val="0"/>
        <w:spacing w:line="360" w:lineRule="auto"/>
        <w:rPr>
          <w:rFonts w:hint="eastAsia" w:ascii="宋体" w:hAnsi="宋体" w:eastAsia="宋体" w:cs="宋体"/>
          <w:sz w:val="28"/>
          <w:szCs w:val="28"/>
          <w:highlight w:val="none"/>
        </w:rPr>
      </w:pPr>
    </w:p>
    <w:p w14:paraId="3A4F4DBE">
      <w:pPr>
        <w:wordWrap w:val="0"/>
        <w:adjustRightInd w:val="0"/>
        <w:snapToGrid w:val="0"/>
        <w:spacing w:line="360" w:lineRule="auto"/>
        <w:rPr>
          <w:rFonts w:hint="eastAsia" w:ascii="宋体" w:hAnsi="宋体" w:eastAsia="宋体" w:cs="宋体"/>
          <w:sz w:val="28"/>
          <w:szCs w:val="28"/>
          <w:highlight w:val="none"/>
        </w:rPr>
      </w:pPr>
    </w:p>
    <w:p w14:paraId="1DBDF9E3">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3FC5248D">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0304B6DF">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36F50BA5">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2DFF54A7">
      <w:pPr>
        <w:wordWrap w:val="0"/>
        <w:adjustRightInd w:val="0"/>
        <w:snapToGrid w:val="0"/>
        <w:spacing w:line="360" w:lineRule="auto"/>
        <w:jc w:val="center"/>
        <w:outlineLvl w:val="0"/>
        <w:rPr>
          <w:rFonts w:hint="eastAsia" w:ascii="宋体" w:hAnsi="宋体" w:eastAsia="宋体" w:cs="宋体"/>
          <w:sz w:val="30"/>
          <w:szCs w:val="30"/>
          <w:highlight w:val="none"/>
          <w:u w:val="none"/>
          <w:lang w:val="en-US" w:eastAsia="zh-CN"/>
        </w:rPr>
      </w:pPr>
      <w:bookmarkStart w:id="8" w:name="_Toc9749"/>
      <w:bookmarkStart w:id="9" w:name="_Toc12160"/>
      <w:r>
        <w:rPr>
          <w:rFonts w:hint="eastAsia" w:ascii="宋体" w:hAnsi="宋体" w:eastAsia="宋体" w:cs="宋体"/>
          <w:sz w:val="30"/>
          <w:szCs w:val="30"/>
          <w:highlight w:val="none"/>
        </w:rPr>
        <w:t>应答人名称</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none"/>
          <w:lang w:val="en-US" w:eastAsia="zh-CN"/>
        </w:rPr>
        <w:t>（需盖公章）</w:t>
      </w:r>
      <w:bookmarkEnd w:id="8"/>
      <w:bookmarkEnd w:id="9"/>
    </w:p>
    <w:p w14:paraId="3EA6AC3C">
      <w:pPr>
        <w:pStyle w:val="14"/>
        <w:rPr>
          <w:rFonts w:hint="eastAsia" w:ascii="宋体" w:hAnsi="宋体" w:eastAsia="宋体" w:cs="宋体"/>
          <w:sz w:val="28"/>
          <w:szCs w:val="28"/>
          <w:highlight w:val="none"/>
          <w:lang w:val="en-US" w:eastAsia="zh-CN"/>
        </w:rPr>
      </w:pPr>
    </w:p>
    <w:p w14:paraId="2FDBD26A">
      <w:pPr>
        <w:wordWrap w:val="0"/>
        <w:adjustRightInd w:val="0"/>
        <w:snapToGrid w:val="0"/>
        <w:spacing w:line="360" w:lineRule="auto"/>
        <w:jc w:val="center"/>
        <w:outlineLvl w:val="0"/>
        <w:rPr>
          <w:rFonts w:hint="eastAsia" w:ascii="宋体" w:hAnsi="宋体" w:eastAsia="宋体" w:cs="宋体"/>
          <w:sz w:val="28"/>
          <w:szCs w:val="28"/>
          <w:highlight w:val="none"/>
        </w:rPr>
      </w:pPr>
      <w:bookmarkStart w:id="10" w:name="_Toc7715"/>
      <w:bookmarkStart w:id="11" w:name="_Toc4433"/>
      <w:r>
        <w:rPr>
          <w:rFonts w:hint="eastAsia" w:ascii="宋体" w:hAnsi="宋体" w:eastAsia="宋体" w:cs="宋体"/>
          <w:sz w:val="28"/>
          <w:szCs w:val="28"/>
          <w:highlight w:val="none"/>
          <w:lang w:val="en-US" w:eastAsia="zh-CN"/>
        </w:rPr>
        <w:t>XX</w:t>
      </w:r>
      <w:r>
        <w:rPr>
          <w:rFonts w:hint="eastAsia" w:ascii="宋体" w:hAnsi="宋体" w:eastAsia="宋体" w:cs="宋体"/>
          <w:sz w:val="28"/>
          <w:szCs w:val="28"/>
          <w:highlight w:val="none"/>
        </w:rPr>
        <w:t>年XX月XX日</w:t>
      </w:r>
      <w:bookmarkEnd w:id="10"/>
      <w:bookmarkEnd w:id="11"/>
    </w:p>
    <w:p w14:paraId="426A83E2">
      <w:pPr>
        <w:pStyle w:val="2"/>
        <w:bidi w:val="0"/>
        <w:rPr>
          <w:rFonts w:hint="eastAsia"/>
          <w:highlight w:val="none"/>
          <w:lang w:val="en-US" w:eastAsia="zh-CN"/>
        </w:rPr>
      </w:pPr>
      <w:bookmarkStart w:id="12" w:name="_Toc6850"/>
      <w:bookmarkStart w:id="13" w:name="_Toc236483228"/>
      <w:r>
        <w:rPr>
          <w:rFonts w:hint="eastAsia"/>
          <w:highlight w:val="none"/>
          <w:lang w:val="en-US" w:eastAsia="zh-CN"/>
        </w:rPr>
        <w:t>总则</w:t>
      </w:r>
      <w:bookmarkEnd w:id="12"/>
      <w:bookmarkEnd w:id="13"/>
    </w:p>
    <w:p w14:paraId="0B524C19">
      <w:pPr>
        <w:snapToGrid/>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本文件是</w:t>
      </w:r>
      <w:r>
        <w:rPr>
          <w:rFonts w:hint="eastAsia" w:ascii="宋体" w:hAnsi="宋体" w:eastAsia="宋体" w:cs="宋体"/>
          <w:sz w:val="28"/>
          <w:szCs w:val="28"/>
          <w:lang w:eastAsia="zh-CN"/>
        </w:rPr>
        <w:t>2025-2026年会员拓新宣发合作行业短信定制化服务支撑</w:t>
      </w:r>
      <w:r>
        <w:rPr>
          <w:rFonts w:hint="eastAsia" w:ascii="宋体" w:hAnsi="宋体" w:eastAsia="宋体" w:cs="宋体"/>
          <w:sz w:val="28"/>
          <w:szCs w:val="28"/>
        </w:rPr>
        <w:t>项目</w:t>
      </w:r>
      <w:r>
        <w:rPr>
          <w:rFonts w:hint="eastAsia" w:ascii="宋体" w:hAnsi="宋体" w:eastAsia="宋体" w:cs="宋体"/>
          <w:sz w:val="28"/>
          <w:szCs w:val="28"/>
          <w:lang w:val="en-US" w:eastAsia="zh-CN"/>
        </w:rPr>
        <w:t>支撑方</w:t>
      </w:r>
      <w:r>
        <w:rPr>
          <w:rFonts w:hint="eastAsia" w:ascii="宋体" w:hAnsi="宋体" w:eastAsia="宋体" w:cs="宋体"/>
          <w:sz w:val="28"/>
          <w:szCs w:val="28"/>
          <w:lang w:eastAsia="zh-CN"/>
        </w:rPr>
        <w:t>技术规范，</w:t>
      </w:r>
      <w:r>
        <w:rPr>
          <w:rFonts w:hint="eastAsia" w:ascii="宋体" w:hAnsi="宋体" w:eastAsia="宋体" w:cs="宋体"/>
          <w:sz w:val="28"/>
          <w:szCs w:val="28"/>
          <w:lang w:val="en-US" w:eastAsia="zh-CN"/>
        </w:rPr>
        <w:t>本项目应答</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以下简称应答</w:t>
      </w:r>
      <w:r>
        <w:rPr>
          <w:rFonts w:hint="eastAsia" w:ascii="宋体" w:hAnsi="宋体" w:eastAsia="宋体" w:cs="宋体"/>
          <w:sz w:val="28"/>
          <w:szCs w:val="28"/>
          <w:lang w:eastAsia="zh-CN"/>
        </w:rPr>
        <w:t>方）应</w:t>
      </w:r>
      <w:r>
        <w:rPr>
          <w:rFonts w:hint="eastAsia" w:ascii="宋体" w:hAnsi="宋体" w:eastAsia="宋体" w:cs="宋体"/>
          <w:sz w:val="28"/>
          <w:szCs w:val="28"/>
          <w:lang w:val="en-US" w:eastAsia="zh-CN"/>
        </w:rPr>
        <w:t>承诺在本次服务支撑项目中，可以提供</w:t>
      </w:r>
      <w:r>
        <w:rPr>
          <w:rFonts w:hint="eastAsia" w:ascii="宋体" w:hAnsi="宋体" w:eastAsia="宋体" w:cs="宋体"/>
          <w:sz w:val="28"/>
          <w:szCs w:val="28"/>
          <w:lang w:eastAsia="zh-CN"/>
        </w:rPr>
        <w:t>本规范</w:t>
      </w:r>
      <w:r>
        <w:rPr>
          <w:rFonts w:hint="eastAsia" w:ascii="宋体" w:hAnsi="宋体" w:eastAsia="宋体" w:cs="宋体"/>
          <w:sz w:val="28"/>
          <w:szCs w:val="28"/>
          <w:lang w:val="en-US" w:eastAsia="zh-CN"/>
        </w:rPr>
        <w:t>中约定的服务支撑能力，并在应答成功后按本规范要求执行</w:t>
      </w:r>
      <w:r>
        <w:rPr>
          <w:rFonts w:hint="eastAsia" w:ascii="宋体" w:hAnsi="宋体" w:eastAsia="宋体" w:cs="宋体"/>
          <w:sz w:val="28"/>
          <w:szCs w:val="28"/>
          <w:lang w:eastAsia="zh-CN"/>
        </w:rPr>
        <w:t>。</w:t>
      </w:r>
    </w:p>
    <w:p w14:paraId="6F0CA04C">
      <w:pPr>
        <w:pStyle w:val="2"/>
        <w:bidi w:val="0"/>
        <w:rPr>
          <w:rFonts w:hint="eastAsia"/>
          <w:highlight w:val="none"/>
          <w:lang w:val="en-US" w:eastAsia="zh-CN"/>
        </w:rPr>
      </w:pPr>
      <w:bookmarkStart w:id="14" w:name="_Toc28486"/>
      <w:r>
        <w:rPr>
          <w:rFonts w:hint="eastAsia"/>
          <w:highlight w:val="none"/>
          <w:lang w:val="en-US" w:eastAsia="zh-CN"/>
        </w:rPr>
        <w:t>能力</w:t>
      </w:r>
      <w:bookmarkEnd w:id="14"/>
      <w:r>
        <w:rPr>
          <w:rFonts w:hint="eastAsia"/>
          <w:highlight w:val="none"/>
          <w:lang w:val="en-US" w:eastAsia="zh-CN"/>
        </w:rPr>
        <w:t>要求</w:t>
      </w:r>
    </w:p>
    <w:p w14:paraId="09890D2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firstLine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参与应答本项目的服务支撑方，需支持以下服务能力</w:t>
      </w:r>
      <w:r>
        <w:rPr>
          <w:rFonts w:hint="eastAsia" w:ascii="宋体" w:hAnsi="宋体" w:eastAsia="宋体" w:cs="宋体"/>
          <w:b/>
          <w:bCs/>
          <w:sz w:val="28"/>
          <w:szCs w:val="28"/>
          <w:lang w:val="en-US" w:eastAsia="zh-CN"/>
        </w:rPr>
        <w:t>（下列能力成本均需折合在本次项目报价中，如应答成功，不予额外计费）</w:t>
      </w:r>
      <w:r>
        <w:rPr>
          <w:rFonts w:hint="eastAsia" w:ascii="宋体" w:hAnsi="宋体" w:eastAsia="宋体" w:cs="宋体"/>
          <w:sz w:val="28"/>
          <w:szCs w:val="28"/>
          <w:lang w:val="en-US" w:eastAsia="zh-CN"/>
        </w:rPr>
        <w:t>：</w:t>
      </w:r>
    </w:p>
    <w:p w14:paraId="3141038E">
      <w:pPr>
        <w:pStyle w:val="3"/>
        <w:bidi w:val="0"/>
        <w:rPr>
          <w:rFonts w:hint="eastAsia"/>
          <w:color w:val="auto"/>
          <w:highlight w:val="none"/>
          <w:lang w:val="en-US" w:eastAsia="zh-CN"/>
        </w:rPr>
      </w:pPr>
      <w:r>
        <w:rPr>
          <w:rFonts w:hint="eastAsia"/>
          <w:color w:val="auto"/>
          <w:highlight w:val="none"/>
          <w:lang w:val="en-US" w:eastAsia="zh-CN"/>
        </w:rPr>
        <w:t>提供相关能力的平台服务</w:t>
      </w:r>
    </w:p>
    <w:p w14:paraId="4668AFA0">
      <w:pPr>
        <w:numPr>
          <w:ilvl w:val="0"/>
          <w:numId w:val="0"/>
        </w:numPr>
        <w:snapToGrid/>
        <w:spacing w:line="240" w:lineRule="auto"/>
        <w:ind w:firstLine="42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1、具备第二类增值电信业务许可证。</w:t>
      </w:r>
    </w:p>
    <w:p w14:paraId="6D2D8F31">
      <w:pPr>
        <w:numPr>
          <w:ilvl w:val="0"/>
          <w:numId w:val="0"/>
        </w:numPr>
        <w:snapToGrid/>
        <w:spacing w:line="240" w:lineRule="auto"/>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2、可提供平台接口，与咪咕视频彩铃内容统一宣发平台、策略师平台等咪咕自有平台接口对接，实现咪咕调用接口直发信息以及执行结果的实时回传（咪咕方不与集成方进行用户数据共享）。</w:t>
      </w:r>
    </w:p>
    <w:p w14:paraId="746D5830">
      <w:pPr>
        <w:pStyle w:val="3"/>
        <w:bidi w:val="0"/>
        <w:rPr>
          <w:rFonts w:hint="eastAsia"/>
          <w:color w:val="auto"/>
          <w:highlight w:val="none"/>
          <w:lang w:val="en-US" w:eastAsia="zh-CN"/>
        </w:rPr>
      </w:pPr>
      <w:r>
        <w:rPr>
          <w:rFonts w:hint="eastAsia"/>
          <w:color w:val="auto"/>
          <w:highlight w:val="none"/>
          <w:lang w:val="en-US" w:eastAsia="zh-CN"/>
        </w:rPr>
        <w:t>提供精准电话呼叫业务运营的全流程支撑服务</w:t>
      </w:r>
    </w:p>
    <w:p w14:paraId="1EECC0EF">
      <w:pPr>
        <w:numPr>
          <w:ilvl w:val="0"/>
          <w:numId w:val="0"/>
        </w:numPr>
        <w:snapToGrid/>
        <w:spacing w:line="240" w:lineRule="auto"/>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1、可提供客服及投诉处理机制。包含7*24小时响应服务，可以微信群等形式在线及时应答客户问题、处理相关投诉。</w:t>
      </w:r>
    </w:p>
    <w:p w14:paraId="05B2A93B">
      <w:pPr>
        <w:numPr>
          <w:ilvl w:val="0"/>
          <w:numId w:val="0"/>
        </w:numPr>
        <w:snapToGrid/>
        <w:spacing w:line="240" w:lineRule="auto"/>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可提供故障支撑服务。包含7×24小时故障受理热线电话，在接到故障申告后，5分钟内响应并进入处理。如因监控或例检等服务发现故障，则自动进行故障处理流程；如因应答方自身系统原因导致的故障，需在5分钟内及时告知故障，并立即开展故障排查。根据故障情况，对故障原因进行深入分析，在故障处理完成后的2个工作日提供专业的《故障分析报告》。</w:t>
      </w:r>
    </w:p>
    <w:p w14:paraId="24B33D51">
      <w:pPr>
        <w:tabs>
          <w:tab w:val="right" w:pos="-2120"/>
        </w:tabs>
        <w:spacing w:line="360"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lang w:val="en-US" w:eastAsia="zh-CN"/>
        </w:rPr>
        <w:t>*</w:t>
      </w:r>
      <w:r>
        <w:rPr>
          <w:rFonts w:hint="eastAsia" w:ascii="仿宋_GB2312" w:hAnsi="宋体" w:eastAsia="仿宋_GB2312"/>
          <w:b/>
          <w:sz w:val="28"/>
          <w:szCs w:val="28"/>
        </w:rPr>
        <w:t>故障响应及处理时限要求</w:t>
      </w:r>
    </w:p>
    <w:tbl>
      <w:tblPr>
        <w:tblStyle w:val="22"/>
        <w:tblW w:w="9330" w:type="dxa"/>
        <w:tblInd w:w="0" w:type="dxa"/>
        <w:tblLayout w:type="fixed"/>
        <w:tblCellMar>
          <w:top w:w="0" w:type="dxa"/>
          <w:left w:w="108" w:type="dxa"/>
          <w:bottom w:w="0" w:type="dxa"/>
          <w:right w:w="108" w:type="dxa"/>
        </w:tblCellMar>
      </w:tblPr>
      <w:tblGrid>
        <w:gridCol w:w="1108"/>
        <w:gridCol w:w="3912"/>
        <w:gridCol w:w="1260"/>
        <w:gridCol w:w="3050"/>
      </w:tblGrid>
      <w:tr w14:paraId="5E07DEDD">
        <w:tblPrEx>
          <w:tblCellMar>
            <w:top w:w="0" w:type="dxa"/>
            <w:left w:w="108" w:type="dxa"/>
            <w:bottom w:w="0" w:type="dxa"/>
            <w:right w:w="108" w:type="dxa"/>
          </w:tblCellMar>
        </w:tblPrEx>
        <w:tc>
          <w:tcPr>
            <w:tcW w:w="1108" w:type="dxa"/>
            <w:tcBorders>
              <w:top w:val="single" w:color="auto" w:sz="6" w:space="0"/>
              <w:left w:val="single" w:color="auto" w:sz="6" w:space="0"/>
              <w:bottom w:val="single" w:color="auto" w:sz="6" w:space="0"/>
              <w:right w:val="single" w:color="auto" w:sz="6" w:space="0"/>
            </w:tcBorders>
            <w:vAlign w:val="center"/>
          </w:tcPr>
          <w:p w14:paraId="4B190E73">
            <w:pPr>
              <w:pStyle w:val="51"/>
              <w:spacing w:line="240" w:lineRule="auto"/>
              <w:jc w:val="center"/>
              <w:rPr>
                <w:rFonts w:hint="eastAsia" w:ascii="仿宋_GB2312" w:hAnsi="宋体" w:eastAsia="仿宋_GB2312"/>
                <w:kern w:val="2"/>
                <w:szCs w:val="21"/>
              </w:rPr>
            </w:pPr>
            <w:r>
              <w:rPr>
                <w:rFonts w:hint="eastAsia" w:ascii="仿宋_GB2312" w:hAnsi="宋体" w:eastAsia="仿宋_GB2312"/>
                <w:kern w:val="2"/>
                <w:szCs w:val="21"/>
              </w:rPr>
              <w:t>故障级别</w:t>
            </w:r>
          </w:p>
        </w:tc>
        <w:tc>
          <w:tcPr>
            <w:tcW w:w="3912" w:type="dxa"/>
            <w:tcBorders>
              <w:top w:val="single" w:color="auto" w:sz="6" w:space="0"/>
              <w:left w:val="single" w:color="auto" w:sz="6" w:space="0"/>
              <w:bottom w:val="single" w:color="auto" w:sz="6" w:space="0"/>
              <w:right w:val="single" w:color="auto" w:sz="6" w:space="0"/>
            </w:tcBorders>
            <w:vAlign w:val="center"/>
          </w:tcPr>
          <w:p w14:paraId="1B4C40C0">
            <w:pPr>
              <w:pStyle w:val="51"/>
              <w:spacing w:line="240" w:lineRule="auto"/>
              <w:jc w:val="center"/>
              <w:rPr>
                <w:rFonts w:hint="eastAsia" w:ascii="仿宋_GB2312" w:hAnsi="宋体" w:eastAsia="仿宋_GB2312"/>
                <w:kern w:val="2"/>
                <w:szCs w:val="21"/>
              </w:rPr>
            </w:pPr>
            <w:r>
              <w:rPr>
                <w:rFonts w:hint="eastAsia" w:ascii="仿宋_GB2312" w:hAnsi="宋体" w:eastAsia="仿宋_GB2312"/>
                <w:kern w:val="2"/>
                <w:szCs w:val="21"/>
              </w:rPr>
              <w:t>定义</w:t>
            </w:r>
          </w:p>
        </w:tc>
        <w:tc>
          <w:tcPr>
            <w:tcW w:w="1260" w:type="dxa"/>
            <w:tcBorders>
              <w:top w:val="single" w:color="auto" w:sz="6" w:space="0"/>
              <w:left w:val="single" w:color="auto" w:sz="6" w:space="0"/>
              <w:bottom w:val="single" w:color="auto" w:sz="6" w:space="0"/>
              <w:right w:val="single" w:color="auto" w:sz="6" w:space="0"/>
            </w:tcBorders>
            <w:vAlign w:val="center"/>
          </w:tcPr>
          <w:p w14:paraId="575CB999">
            <w:pPr>
              <w:pStyle w:val="51"/>
              <w:spacing w:line="240" w:lineRule="auto"/>
              <w:jc w:val="center"/>
              <w:rPr>
                <w:rFonts w:hint="eastAsia" w:ascii="仿宋_GB2312" w:hAnsi="宋体" w:eastAsia="仿宋_GB2312"/>
                <w:kern w:val="2"/>
                <w:szCs w:val="21"/>
              </w:rPr>
            </w:pPr>
            <w:r>
              <w:rPr>
                <w:rFonts w:hint="eastAsia" w:ascii="仿宋_GB2312" w:hAnsi="宋体" w:eastAsia="仿宋_GB2312"/>
                <w:kern w:val="2"/>
                <w:szCs w:val="21"/>
              </w:rPr>
              <w:t>故障响应时间及解决问题时间</w:t>
            </w:r>
          </w:p>
        </w:tc>
        <w:tc>
          <w:tcPr>
            <w:tcW w:w="3050" w:type="dxa"/>
            <w:tcBorders>
              <w:top w:val="single" w:color="auto" w:sz="6" w:space="0"/>
              <w:left w:val="single" w:color="auto" w:sz="6" w:space="0"/>
              <w:bottom w:val="single" w:color="auto" w:sz="6" w:space="0"/>
              <w:right w:val="single" w:color="auto" w:sz="6" w:space="0"/>
            </w:tcBorders>
            <w:vAlign w:val="center"/>
          </w:tcPr>
          <w:p w14:paraId="1B491719">
            <w:pPr>
              <w:pStyle w:val="51"/>
              <w:spacing w:line="240" w:lineRule="auto"/>
              <w:jc w:val="center"/>
              <w:rPr>
                <w:rFonts w:hint="eastAsia" w:ascii="仿宋_GB2312" w:hAnsi="宋体" w:eastAsia="仿宋_GB2312"/>
                <w:kern w:val="2"/>
                <w:szCs w:val="21"/>
              </w:rPr>
            </w:pPr>
            <w:r>
              <w:rPr>
                <w:rFonts w:hint="eastAsia" w:ascii="仿宋_GB2312" w:hAnsi="宋体" w:eastAsia="仿宋_GB2312"/>
                <w:kern w:val="2"/>
                <w:szCs w:val="21"/>
              </w:rPr>
              <w:t>解决问题的时限和应急处理办法</w:t>
            </w:r>
          </w:p>
        </w:tc>
      </w:tr>
      <w:tr w14:paraId="0002A5C9">
        <w:tblPrEx>
          <w:tblCellMar>
            <w:top w:w="0" w:type="dxa"/>
            <w:left w:w="108" w:type="dxa"/>
            <w:bottom w:w="0" w:type="dxa"/>
            <w:right w:w="108" w:type="dxa"/>
          </w:tblCellMar>
        </w:tblPrEx>
        <w:trPr>
          <w:trHeight w:val="1255" w:hRule="atLeast"/>
        </w:trPr>
        <w:tc>
          <w:tcPr>
            <w:tcW w:w="1108" w:type="dxa"/>
            <w:tcBorders>
              <w:top w:val="single" w:color="auto" w:sz="6" w:space="0"/>
              <w:left w:val="single" w:color="auto" w:sz="6" w:space="0"/>
              <w:bottom w:val="single" w:color="auto" w:sz="6" w:space="0"/>
              <w:right w:val="single" w:color="auto" w:sz="6" w:space="0"/>
            </w:tcBorders>
          </w:tcPr>
          <w:p w14:paraId="6EFDBABF">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一级故障</w:t>
            </w:r>
          </w:p>
        </w:tc>
        <w:tc>
          <w:tcPr>
            <w:tcW w:w="3912" w:type="dxa"/>
            <w:tcBorders>
              <w:top w:val="single" w:color="auto" w:sz="6" w:space="0"/>
              <w:left w:val="single" w:color="auto" w:sz="6" w:space="0"/>
              <w:bottom w:val="single" w:color="auto" w:sz="6" w:space="0"/>
              <w:right w:val="single" w:color="auto" w:sz="6" w:space="0"/>
            </w:tcBorders>
          </w:tcPr>
          <w:p w14:paraId="16F211E6">
            <w:pPr>
              <w:tabs>
                <w:tab w:val="right" w:pos="-2120"/>
              </w:tabs>
              <w:spacing w:line="240" w:lineRule="atLeast"/>
              <w:ind w:firstLine="0"/>
              <w:rPr>
                <w:rFonts w:hint="eastAsia" w:ascii="仿宋_GB2312" w:hAnsi="宋体" w:eastAsia="仿宋_GB2312"/>
                <w:sz w:val="21"/>
                <w:szCs w:val="21"/>
              </w:rPr>
            </w:pPr>
            <w:r>
              <w:rPr>
                <w:rFonts w:hint="eastAsia" w:ascii="仿宋_GB2312" w:hAnsi="宋体" w:eastAsia="仿宋_GB2312"/>
                <w:sz w:val="21"/>
                <w:szCs w:val="21"/>
              </w:rPr>
              <w:t>是指灾难性的故障，将严重影响我司业务运行，停服超48小时。</w:t>
            </w:r>
            <w:r>
              <w:rPr>
                <w:rFonts w:hint="eastAsia" w:ascii="仿宋_GB2312" w:hAnsi="宋体" w:eastAsia="仿宋_GB2312"/>
                <w:szCs w:val="21"/>
              </w:rPr>
              <w:t>即</w:t>
            </w:r>
            <w:r>
              <w:rPr>
                <w:rFonts w:hint="eastAsia" w:ascii="仿宋_GB2312" w:hAnsi="宋体" w:eastAsia="仿宋_GB2312"/>
                <w:szCs w:val="21"/>
                <w:lang w:eastAsia="zh-CN"/>
              </w:rPr>
              <w:t>应答方</w:t>
            </w:r>
            <w:r>
              <w:rPr>
                <w:rFonts w:hint="eastAsia" w:ascii="仿宋_GB2312" w:hAnsi="宋体" w:eastAsia="仿宋_GB2312"/>
                <w:szCs w:val="21"/>
              </w:rPr>
              <w:t>由于操作系统失效或崩溃而造成系统瘫痪，应用系统提供的服务中断且无法正常启动运行等，致使业务的基本功能无法实现，且没有临时替代解决方案。</w:t>
            </w:r>
          </w:p>
        </w:tc>
        <w:tc>
          <w:tcPr>
            <w:tcW w:w="1260" w:type="dxa"/>
            <w:tcBorders>
              <w:top w:val="single" w:color="auto" w:sz="6" w:space="0"/>
              <w:left w:val="single" w:color="auto" w:sz="6" w:space="0"/>
              <w:bottom w:val="single" w:color="auto" w:sz="6" w:space="0"/>
              <w:right w:val="single" w:color="auto" w:sz="6" w:space="0"/>
            </w:tcBorders>
          </w:tcPr>
          <w:p w14:paraId="5FA5563B">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5分钟内响应</w:t>
            </w:r>
            <w:r>
              <w:rPr>
                <w:rFonts w:ascii="仿宋_GB2312" w:hAnsi="宋体" w:eastAsia="仿宋_GB2312"/>
                <w:kern w:val="2"/>
                <w:szCs w:val="21"/>
              </w:rPr>
              <w:t>,</w:t>
            </w:r>
            <w:r>
              <w:rPr>
                <w:rFonts w:hint="eastAsia" w:ascii="仿宋_GB2312" w:hAnsi="宋体" w:eastAsia="仿宋_GB2312"/>
                <w:kern w:val="2"/>
                <w:szCs w:val="21"/>
              </w:rPr>
              <w:t>2小时内给出解决方案。</w:t>
            </w:r>
          </w:p>
        </w:tc>
        <w:tc>
          <w:tcPr>
            <w:tcW w:w="3050" w:type="dxa"/>
            <w:tcBorders>
              <w:top w:val="single" w:color="auto" w:sz="6" w:space="0"/>
              <w:left w:val="single" w:color="auto" w:sz="6" w:space="0"/>
              <w:bottom w:val="single" w:color="auto" w:sz="6" w:space="0"/>
              <w:right w:val="single" w:color="auto" w:sz="6" w:space="0"/>
            </w:tcBorders>
          </w:tcPr>
          <w:p w14:paraId="64E9FFAE">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lang w:eastAsia="zh-CN"/>
              </w:rPr>
              <w:t>应答方</w:t>
            </w:r>
            <w:r>
              <w:rPr>
                <w:rFonts w:hint="eastAsia" w:ascii="仿宋_GB2312" w:hAnsi="宋体" w:eastAsia="仿宋_GB2312"/>
                <w:kern w:val="2"/>
                <w:szCs w:val="21"/>
              </w:rPr>
              <w:t>应当在2小时内解决该类问题。如果2小时内未解决该问题，</w:t>
            </w:r>
            <w:r>
              <w:rPr>
                <w:rFonts w:hint="eastAsia" w:ascii="仿宋_GB2312" w:hAnsi="宋体" w:eastAsia="仿宋_GB2312"/>
                <w:kern w:val="2"/>
                <w:szCs w:val="21"/>
                <w:lang w:eastAsia="zh-CN"/>
              </w:rPr>
              <w:t>应答方</w:t>
            </w:r>
            <w:r>
              <w:rPr>
                <w:rFonts w:hint="eastAsia" w:ascii="仿宋_GB2312" w:hAnsi="宋体" w:eastAsia="仿宋_GB2312"/>
                <w:kern w:val="2"/>
                <w:szCs w:val="21"/>
              </w:rPr>
              <w:t>需提供应急解决方案，保证业务正常运行。</w:t>
            </w:r>
          </w:p>
        </w:tc>
      </w:tr>
      <w:tr w14:paraId="1ADC93AC">
        <w:tblPrEx>
          <w:tblCellMar>
            <w:top w:w="0" w:type="dxa"/>
            <w:left w:w="108" w:type="dxa"/>
            <w:bottom w:w="0" w:type="dxa"/>
            <w:right w:w="108" w:type="dxa"/>
          </w:tblCellMar>
        </w:tblPrEx>
        <w:tc>
          <w:tcPr>
            <w:tcW w:w="1108" w:type="dxa"/>
            <w:tcBorders>
              <w:top w:val="single" w:color="auto" w:sz="6" w:space="0"/>
              <w:left w:val="single" w:color="auto" w:sz="6" w:space="0"/>
              <w:bottom w:val="single" w:color="auto" w:sz="6" w:space="0"/>
              <w:right w:val="single" w:color="auto" w:sz="6" w:space="0"/>
            </w:tcBorders>
          </w:tcPr>
          <w:p w14:paraId="009EAEE5">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二级故障</w:t>
            </w:r>
          </w:p>
        </w:tc>
        <w:tc>
          <w:tcPr>
            <w:tcW w:w="3912" w:type="dxa"/>
            <w:tcBorders>
              <w:top w:val="single" w:color="auto" w:sz="6" w:space="0"/>
              <w:left w:val="single" w:color="auto" w:sz="6" w:space="0"/>
              <w:bottom w:val="single" w:color="auto" w:sz="6" w:space="0"/>
              <w:right w:val="single" w:color="auto" w:sz="6" w:space="0"/>
            </w:tcBorders>
          </w:tcPr>
          <w:p w14:paraId="62A8345F">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是指有比较严重影响的故障，停服超12小时，即</w:t>
            </w:r>
            <w:r>
              <w:rPr>
                <w:rFonts w:hint="eastAsia" w:ascii="仿宋_GB2312" w:hAnsi="宋体" w:eastAsia="仿宋_GB2312"/>
                <w:kern w:val="2"/>
                <w:szCs w:val="21"/>
                <w:lang w:eastAsia="zh-CN"/>
              </w:rPr>
              <w:t>应答方</w:t>
            </w:r>
            <w:r>
              <w:rPr>
                <w:rFonts w:hint="eastAsia" w:ascii="仿宋_GB2312" w:hAnsi="宋体" w:eastAsia="仿宋_GB2312"/>
                <w:kern w:val="2"/>
                <w:szCs w:val="21"/>
              </w:rPr>
              <w:t>发生的故障已经影响到部分功能的实现，但是基本的业务还是能运行，而此故障很大程度上能够引起潜在的服务瘫痪和服务中断。</w:t>
            </w:r>
          </w:p>
          <w:p w14:paraId="69EE1C7D">
            <w:pPr>
              <w:pStyle w:val="51"/>
              <w:spacing w:line="240" w:lineRule="auto"/>
              <w:rPr>
                <w:rFonts w:hint="eastAsia" w:ascii="仿宋_GB2312" w:hAnsi="宋体" w:eastAsia="仿宋_GB2312"/>
                <w:kern w:val="2"/>
                <w:szCs w:val="21"/>
              </w:rPr>
            </w:pPr>
          </w:p>
        </w:tc>
        <w:tc>
          <w:tcPr>
            <w:tcW w:w="1260" w:type="dxa"/>
            <w:tcBorders>
              <w:top w:val="single" w:color="auto" w:sz="6" w:space="0"/>
              <w:left w:val="single" w:color="auto" w:sz="6" w:space="0"/>
              <w:bottom w:val="single" w:color="auto" w:sz="6" w:space="0"/>
              <w:right w:val="single" w:color="auto" w:sz="6" w:space="0"/>
            </w:tcBorders>
          </w:tcPr>
          <w:p w14:paraId="6EC7DCF8">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5分钟内响应,4小时内给出解决方案。</w:t>
            </w:r>
          </w:p>
        </w:tc>
        <w:tc>
          <w:tcPr>
            <w:tcW w:w="3050" w:type="dxa"/>
            <w:tcBorders>
              <w:top w:val="single" w:color="auto" w:sz="6" w:space="0"/>
              <w:left w:val="single" w:color="auto" w:sz="6" w:space="0"/>
              <w:bottom w:val="single" w:color="auto" w:sz="6" w:space="0"/>
              <w:right w:val="single" w:color="auto" w:sz="6" w:space="0"/>
            </w:tcBorders>
          </w:tcPr>
          <w:p w14:paraId="04751613">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lang w:eastAsia="zh-CN"/>
              </w:rPr>
              <w:t>应答方</w:t>
            </w:r>
            <w:r>
              <w:rPr>
                <w:rFonts w:hint="eastAsia" w:ascii="仿宋_GB2312" w:hAnsi="宋体" w:eastAsia="仿宋_GB2312"/>
                <w:kern w:val="2"/>
                <w:szCs w:val="21"/>
              </w:rPr>
              <w:t>应当在4小时内解决该类问题。如果4小时内未解决该问题，</w:t>
            </w:r>
            <w:r>
              <w:rPr>
                <w:rFonts w:hint="eastAsia" w:ascii="仿宋_GB2312" w:hAnsi="宋体" w:eastAsia="仿宋_GB2312"/>
                <w:kern w:val="2"/>
                <w:szCs w:val="21"/>
                <w:lang w:eastAsia="zh-CN"/>
              </w:rPr>
              <w:t>应答方</w:t>
            </w:r>
            <w:r>
              <w:rPr>
                <w:rFonts w:hint="eastAsia" w:ascii="仿宋_GB2312" w:hAnsi="宋体" w:eastAsia="仿宋_GB2312"/>
                <w:kern w:val="2"/>
                <w:szCs w:val="21"/>
              </w:rPr>
              <w:t>需提供应急解决方案，保证业务正常运行。</w:t>
            </w:r>
          </w:p>
        </w:tc>
      </w:tr>
      <w:tr w14:paraId="719DB534">
        <w:tblPrEx>
          <w:tblCellMar>
            <w:top w:w="0" w:type="dxa"/>
            <w:left w:w="108" w:type="dxa"/>
            <w:bottom w:w="0" w:type="dxa"/>
            <w:right w:w="108" w:type="dxa"/>
          </w:tblCellMar>
        </w:tblPrEx>
        <w:tc>
          <w:tcPr>
            <w:tcW w:w="1108" w:type="dxa"/>
            <w:tcBorders>
              <w:top w:val="single" w:color="auto" w:sz="6" w:space="0"/>
              <w:left w:val="single" w:color="auto" w:sz="6" w:space="0"/>
              <w:bottom w:val="single" w:color="auto" w:sz="6" w:space="0"/>
              <w:right w:val="single" w:color="auto" w:sz="6" w:space="0"/>
            </w:tcBorders>
          </w:tcPr>
          <w:p w14:paraId="1B19ECE0">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三级故障</w:t>
            </w:r>
          </w:p>
        </w:tc>
        <w:tc>
          <w:tcPr>
            <w:tcW w:w="3912" w:type="dxa"/>
            <w:tcBorders>
              <w:top w:val="single" w:color="auto" w:sz="6" w:space="0"/>
              <w:left w:val="single" w:color="auto" w:sz="6" w:space="0"/>
              <w:bottom w:val="single" w:color="auto" w:sz="6" w:space="0"/>
              <w:right w:val="single" w:color="auto" w:sz="6" w:space="0"/>
            </w:tcBorders>
          </w:tcPr>
          <w:p w14:paraId="4CA11A7A">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是指一般性的故障，停服超8小时，影响到了系统的运行，某部分的功能已经无法实现或部分性能退化，但是基本的业务还是能运行，此类故障不会引起潜在的服务瘫痪和中断情况。</w:t>
            </w:r>
          </w:p>
        </w:tc>
        <w:tc>
          <w:tcPr>
            <w:tcW w:w="1260" w:type="dxa"/>
            <w:tcBorders>
              <w:top w:val="single" w:color="auto" w:sz="6" w:space="0"/>
              <w:left w:val="single" w:color="auto" w:sz="6" w:space="0"/>
              <w:bottom w:val="single" w:color="auto" w:sz="6" w:space="0"/>
              <w:right w:val="single" w:color="auto" w:sz="6" w:space="0"/>
            </w:tcBorders>
          </w:tcPr>
          <w:p w14:paraId="5B8190A3">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5分钟内响应，6小时内给出解决方案</w:t>
            </w:r>
          </w:p>
        </w:tc>
        <w:tc>
          <w:tcPr>
            <w:tcW w:w="3050" w:type="dxa"/>
            <w:tcBorders>
              <w:top w:val="single" w:color="auto" w:sz="6" w:space="0"/>
              <w:left w:val="single" w:color="auto" w:sz="6" w:space="0"/>
              <w:bottom w:val="single" w:color="auto" w:sz="6" w:space="0"/>
              <w:right w:val="single" w:color="auto" w:sz="6" w:space="0"/>
            </w:tcBorders>
          </w:tcPr>
          <w:p w14:paraId="1496A0A6">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lang w:eastAsia="zh-CN"/>
              </w:rPr>
              <w:t>应答方</w:t>
            </w:r>
            <w:r>
              <w:rPr>
                <w:rFonts w:hint="eastAsia" w:ascii="仿宋_GB2312" w:hAnsi="宋体" w:eastAsia="仿宋_GB2312"/>
                <w:kern w:val="2"/>
                <w:szCs w:val="21"/>
              </w:rPr>
              <w:t>应当在6小时内解决该类问题。如果6小时内未解决该问题，</w:t>
            </w:r>
            <w:r>
              <w:rPr>
                <w:rFonts w:hint="eastAsia" w:ascii="仿宋_GB2312" w:hAnsi="宋体" w:eastAsia="仿宋_GB2312"/>
                <w:kern w:val="2"/>
                <w:szCs w:val="21"/>
                <w:lang w:eastAsia="zh-CN"/>
              </w:rPr>
              <w:t>应答方</w:t>
            </w:r>
            <w:r>
              <w:rPr>
                <w:rFonts w:hint="eastAsia" w:ascii="仿宋_GB2312" w:hAnsi="宋体" w:eastAsia="仿宋_GB2312"/>
                <w:kern w:val="2"/>
                <w:szCs w:val="21"/>
              </w:rPr>
              <w:t>需提供应急解决方案，保证业务正常运行。</w:t>
            </w:r>
          </w:p>
        </w:tc>
      </w:tr>
      <w:tr w14:paraId="39358C96">
        <w:tblPrEx>
          <w:tblCellMar>
            <w:top w:w="0" w:type="dxa"/>
            <w:left w:w="108" w:type="dxa"/>
            <w:bottom w:w="0" w:type="dxa"/>
            <w:right w:w="108" w:type="dxa"/>
          </w:tblCellMar>
        </w:tblPrEx>
        <w:tc>
          <w:tcPr>
            <w:tcW w:w="1108" w:type="dxa"/>
            <w:tcBorders>
              <w:top w:val="single" w:color="auto" w:sz="6" w:space="0"/>
              <w:left w:val="single" w:color="auto" w:sz="6" w:space="0"/>
              <w:bottom w:val="single" w:color="auto" w:sz="6" w:space="0"/>
              <w:right w:val="single" w:color="auto" w:sz="6" w:space="0"/>
            </w:tcBorders>
          </w:tcPr>
          <w:p w14:paraId="4A3D6EDF">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四级故障</w:t>
            </w:r>
          </w:p>
        </w:tc>
        <w:tc>
          <w:tcPr>
            <w:tcW w:w="3912" w:type="dxa"/>
            <w:tcBorders>
              <w:top w:val="single" w:color="auto" w:sz="6" w:space="0"/>
              <w:left w:val="single" w:color="auto" w:sz="6" w:space="0"/>
              <w:bottom w:val="single" w:color="auto" w:sz="6" w:space="0"/>
              <w:right w:val="single" w:color="auto" w:sz="6" w:space="0"/>
            </w:tcBorders>
          </w:tcPr>
          <w:p w14:paraId="31D338E7">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是指轻微性的故障，停服超4小时，间接或断续影响到业务的运行，部分功能偶尔出现异常或性能衰减。</w:t>
            </w:r>
          </w:p>
        </w:tc>
        <w:tc>
          <w:tcPr>
            <w:tcW w:w="1260" w:type="dxa"/>
            <w:tcBorders>
              <w:top w:val="single" w:color="auto" w:sz="6" w:space="0"/>
              <w:left w:val="single" w:color="auto" w:sz="6" w:space="0"/>
              <w:bottom w:val="single" w:color="auto" w:sz="6" w:space="0"/>
              <w:right w:val="single" w:color="auto" w:sz="6" w:space="0"/>
            </w:tcBorders>
          </w:tcPr>
          <w:p w14:paraId="0F3AD23C">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rPr>
              <w:t>5分钟内响应，</w:t>
            </w:r>
            <w:r>
              <w:rPr>
                <w:rFonts w:ascii="仿宋_GB2312" w:hAnsi="宋体" w:eastAsia="仿宋_GB2312"/>
                <w:kern w:val="2"/>
                <w:szCs w:val="21"/>
              </w:rPr>
              <w:t>24</w:t>
            </w:r>
            <w:r>
              <w:rPr>
                <w:rFonts w:hint="eastAsia" w:ascii="仿宋_GB2312" w:hAnsi="宋体" w:eastAsia="仿宋_GB2312"/>
                <w:kern w:val="2"/>
                <w:szCs w:val="21"/>
              </w:rPr>
              <w:t>小时内给出解决方案</w:t>
            </w:r>
          </w:p>
        </w:tc>
        <w:tc>
          <w:tcPr>
            <w:tcW w:w="3050" w:type="dxa"/>
            <w:tcBorders>
              <w:top w:val="single" w:color="auto" w:sz="6" w:space="0"/>
              <w:left w:val="single" w:color="auto" w:sz="6" w:space="0"/>
              <w:bottom w:val="single" w:color="auto" w:sz="6" w:space="0"/>
              <w:right w:val="single" w:color="auto" w:sz="6" w:space="0"/>
            </w:tcBorders>
          </w:tcPr>
          <w:p w14:paraId="5E9FF2E1">
            <w:pPr>
              <w:pStyle w:val="51"/>
              <w:spacing w:line="240" w:lineRule="auto"/>
              <w:rPr>
                <w:rFonts w:hint="eastAsia" w:ascii="仿宋_GB2312" w:hAnsi="宋体" w:eastAsia="仿宋_GB2312"/>
                <w:kern w:val="2"/>
                <w:szCs w:val="21"/>
              </w:rPr>
            </w:pPr>
            <w:r>
              <w:rPr>
                <w:rFonts w:hint="eastAsia" w:ascii="仿宋_GB2312" w:hAnsi="宋体" w:eastAsia="仿宋_GB2312"/>
                <w:kern w:val="2"/>
                <w:szCs w:val="21"/>
                <w:lang w:eastAsia="zh-CN"/>
              </w:rPr>
              <w:t>应答方</w:t>
            </w:r>
            <w:r>
              <w:rPr>
                <w:rFonts w:hint="eastAsia" w:ascii="仿宋_GB2312" w:hAnsi="宋体" w:eastAsia="仿宋_GB2312"/>
                <w:kern w:val="2"/>
                <w:szCs w:val="21"/>
              </w:rPr>
              <w:t>应当在</w:t>
            </w:r>
            <w:r>
              <w:rPr>
                <w:rFonts w:ascii="仿宋_GB2312" w:hAnsi="宋体" w:eastAsia="仿宋_GB2312"/>
                <w:kern w:val="2"/>
                <w:szCs w:val="21"/>
              </w:rPr>
              <w:t>24</w:t>
            </w:r>
            <w:r>
              <w:rPr>
                <w:rFonts w:hint="eastAsia" w:ascii="仿宋_GB2312" w:hAnsi="宋体" w:eastAsia="仿宋_GB2312"/>
                <w:kern w:val="2"/>
                <w:szCs w:val="21"/>
              </w:rPr>
              <w:t>小时内解决该类问题。如果</w:t>
            </w:r>
            <w:r>
              <w:rPr>
                <w:rFonts w:ascii="仿宋_GB2312" w:hAnsi="宋体" w:eastAsia="仿宋_GB2312"/>
                <w:kern w:val="2"/>
                <w:szCs w:val="21"/>
              </w:rPr>
              <w:t>24</w:t>
            </w:r>
            <w:r>
              <w:rPr>
                <w:rFonts w:hint="eastAsia" w:ascii="仿宋_GB2312" w:hAnsi="宋体" w:eastAsia="仿宋_GB2312"/>
                <w:kern w:val="2"/>
                <w:szCs w:val="21"/>
              </w:rPr>
              <w:t>小时内未解决该问题，</w:t>
            </w:r>
            <w:r>
              <w:rPr>
                <w:rFonts w:hint="eastAsia" w:ascii="仿宋_GB2312" w:hAnsi="宋体" w:eastAsia="仿宋_GB2312"/>
                <w:kern w:val="2"/>
                <w:szCs w:val="21"/>
                <w:lang w:eastAsia="zh-CN"/>
              </w:rPr>
              <w:t>应答方</w:t>
            </w:r>
            <w:r>
              <w:rPr>
                <w:rFonts w:hint="eastAsia" w:ascii="仿宋_GB2312" w:hAnsi="宋体" w:eastAsia="仿宋_GB2312"/>
                <w:kern w:val="2"/>
                <w:szCs w:val="21"/>
              </w:rPr>
              <w:t>需提供应急解决方案，保证业务正常运行。</w:t>
            </w:r>
          </w:p>
        </w:tc>
      </w:tr>
    </w:tbl>
    <w:p w14:paraId="690A8395">
      <w:pPr>
        <w:snapToGrid/>
        <w:spacing w:line="240" w:lineRule="auto"/>
        <w:ind w:firstLine="560" w:firstLineChars="200"/>
        <w:rPr>
          <w:rFonts w:hint="eastAsia" w:ascii="宋体" w:hAnsi="宋体" w:eastAsia="宋体" w:cs="宋体"/>
          <w:sz w:val="28"/>
          <w:szCs w:val="28"/>
          <w:lang w:val="en-US" w:eastAsia="zh-CN"/>
        </w:rPr>
      </w:pPr>
    </w:p>
    <w:p w14:paraId="16EA1A96">
      <w:pPr>
        <w:pStyle w:val="2"/>
        <w:bidi w:val="0"/>
        <w:rPr>
          <w:rFonts w:hint="eastAsia"/>
          <w:highlight w:val="none"/>
          <w:lang w:val="en-US" w:eastAsia="zh-CN"/>
        </w:rPr>
      </w:pPr>
      <w:bookmarkStart w:id="15" w:name="_Toc335408478"/>
      <w:bookmarkStart w:id="16" w:name="_Toc334459805"/>
      <w:bookmarkStart w:id="17" w:name="_Toc16154"/>
      <w:r>
        <w:rPr>
          <w:rFonts w:hint="eastAsia"/>
          <w:highlight w:val="none"/>
          <w:lang w:val="en-US" w:eastAsia="zh-CN"/>
        </w:rPr>
        <w:t>其他要求</w:t>
      </w:r>
      <w:bookmarkEnd w:id="15"/>
      <w:bookmarkEnd w:id="16"/>
      <w:bookmarkEnd w:id="17"/>
    </w:p>
    <w:p w14:paraId="6790EB4F">
      <w:pPr>
        <w:numPr>
          <w:ilvl w:val="0"/>
          <w:numId w:val="0"/>
        </w:numPr>
        <w:snapToGrid/>
        <w:spacing w:line="240" w:lineRule="auto"/>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为了保障咪咕方信息安全，应答方可对以下方面进行承诺：</w:t>
      </w:r>
    </w:p>
    <w:p w14:paraId="3DA01F33">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在工作期间获得和知晓的咪咕方和项目机密信息不得泄露给第三方。机密信息包括但不限于以下内容：网络结构信息、系统架构信息、配置信息、帐号信息、安全漏洞信息、安全事件等；</w:t>
      </w:r>
    </w:p>
    <w:p w14:paraId="42D9B7C7">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未经咪咕方书面许可，应答方不得将所知晓的项目信息以任何方式提供给任何第三方，也不得擅自披露；</w:t>
      </w:r>
    </w:p>
    <w:p w14:paraId="356C1560">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未经咪咕方书面许可，应答方不得透露关于本项目的任何项目成果；</w:t>
      </w:r>
    </w:p>
    <w:p w14:paraId="0E7CD3AD">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未经咪咕方书面许可，应答方不得擅自将项目信息用于与项目无关的事项；</w:t>
      </w:r>
    </w:p>
    <w:p w14:paraId="65D1587B">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未经咪咕方书面许可，应答方不得带走咪咕方和项目任何文档、图纸、资料、磁盘、胶片等载有项目信息的介质；</w:t>
      </w:r>
    </w:p>
    <w:p w14:paraId="2B3C4F36">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未经咪咕方书面许可，应答方保证不以任何方式对咪咕方提供的各种介质的资料进行未授权的复印、翻译和转发；</w:t>
      </w:r>
    </w:p>
    <w:p w14:paraId="43B78D01">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在服务合同期满后，应答方不得以任何理由、任何方式使用或向第三方泄漏咪咕方的机密信息等；</w:t>
      </w:r>
    </w:p>
    <w:p w14:paraId="3DA295F6">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应答方需同意遵守咪咕方的各项管理制度，咪咕方有权依据上述制度对应答方进行检查，并且对应答方违反制度的行为进行处罚；</w:t>
      </w:r>
    </w:p>
    <w:p w14:paraId="215FCA6C">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对于咪咕方提供给应答方使用的任何资源，如网络、存储空间等，应答方都只能将其用于工作，而不能用于其他目的，特别是从事侵害咪咕方利益的活动；</w:t>
      </w:r>
    </w:p>
    <w:p w14:paraId="451938F1">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应答方如有违反上述协议行为，需承诺由其带来的法律责任，并赔偿直接和间接的各种损失；</w:t>
      </w:r>
    </w:p>
    <w:p w14:paraId="73AA5D2C">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应答方需要和咪咕方签署保密协议；</w:t>
      </w:r>
    </w:p>
    <w:p w14:paraId="69C56934">
      <w:pPr>
        <w:numPr>
          <w:ilvl w:val="0"/>
          <w:numId w:val="4"/>
        </w:numPr>
        <w:spacing w:line="360" w:lineRule="auto"/>
        <w:ind w:left="0" w:leftChars="0" w:firstLine="560" w:firstLineChars="200"/>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应答方需要和承担本项目的驻场支撑员工签署保密协议；</w:t>
      </w:r>
    </w:p>
    <w:p w14:paraId="3C34558D">
      <w:pPr>
        <w:numPr>
          <w:ilvl w:val="0"/>
          <w:numId w:val="0"/>
        </w:numPr>
        <w:spacing w:line="360" w:lineRule="auto"/>
        <w:ind w:left="420" w:leftChars="200" w:firstLine="420" w:firstLineChars="0"/>
        <w:rPr>
          <w:rFonts w:hint="eastAsia" w:ascii="宋体" w:hAnsi="宋体" w:eastAsia="宋体" w:cs="宋体"/>
          <w:b w:val="0"/>
          <w:bCs w:val="0"/>
          <w:i w:val="0"/>
          <w:iCs w:val="0"/>
          <w:color w:val="000000"/>
          <w:kern w:val="0"/>
          <w:sz w:val="28"/>
          <w:szCs w:val="28"/>
          <w:highlight w:val="none"/>
          <w:u w:val="singl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除了完成双方约定的工作目的之外，未经咪咕方书面许可，应答方不得擅自使用咪咕方的上述保密信息。</w:t>
      </w:r>
    </w:p>
    <w:sectPr>
      <w:headerReference r:id="rId3" w:type="default"/>
      <w:footerReference r:id="rId4"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C7D42"/>
    <w:multiLevelType w:val="singleLevel"/>
    <w:tmpl w:val="AF0C7D42"/>
    <w:lvl w:ilvl="0" w:tentative="0">
      <w:start w:val="1"/>
      <w:numFmt w:val="chineseCounting"/>
      <w:suff w:val="nothing"/>
      <w:lvlText w:val="（%1）"/>
      <w:lvlJc w:val="left"/>
      <w:pPr>
        <w:ind w:left="0" w:firstLine="420"/>
      </w:pPr>
      <w:rPr>
        <w:rFonts w:hint="eastAsia"/>
      </w:rPr>
    </w:lvl>
  </w:abstractNum>
  <w:abstractNum w:abstractNumId="1">
    <w:nsid w:val="C21360DB"/>
    <w:multiLevelType w:val="multilevel"/>
    <w:tmpl w:val="C21360D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192" w:firstLine="402"/>
      </w:pPr>
      <w:rPr>
        <w:rFonts w:hint="eastAsia"/>
      </w:rPr>
    </w:lvl>
    <w:lvl w:ilvl="4" w:tentative="0">
      <w:start w:val="1"/>
      <w:numFmt w:val="decimalEnclosedCircleChinese"/>
      <w:pStyle w:val="5"/>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5F26077A"/>
    <w:multiLevelType w:val="multilevel"/>
    <w:tmpl w:val="5F26077A"/>
    <w:lvl w:ilvl="0" w:tentative="0">
      <w:start w:val="1"/>
      <w:numFmt w:val="bullet"/>
      <w:pStyle w:val="52"/>
      <w:lvlText w:val=""/>
      <w:lvlJc w:val="left"/>
      <w:pPr>
        <w:ind w:left="840"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4B6FF5"/>
    <w:rsid w:val="00762929"/>
    <w:rsid w:val="00851448"/>
    <w:rsid w:val="00980BC8"/>
    <w:rsid w:val="00C41A65"/>
    <w:rsid w:val="00F62DA8"/>
    <w:rsid w:val="01081313"/>
    <w:rsid w:val="01494ACD"/>
    <w:rsid w:val="017C7CFD"/>
    <w:rsid w:val="01B86CB1"/>
    <w:rsid w:val="01C5553E"/>
    <w:rsid w:val="01E6233D"/>
    <w:rsid w:val="01FD0FA2"/>
    <w:rsid w:val="021D07AD"/>
    <w:rsid w:val="0221551A"/>
    <w:rsid w:val="02265FC9"/>
    <w:rsid w:val="022867F0"/>
    <w:rsid w:val="02525D2D"/>
    <w:rsid w:val="025E2EB0"/>
    <w:rsid w:val="02A327C7"/>
    <w:rsid w:val="02A45A0B"/>
    <w:rsid w:val="02E60631"/>
    <w:rsid w:val="02E84657"/>
    <w:rsid w:val="0310461B"/>
    <w:rsid w:val="031E65C6"/>
    <w:rsid w:val="034F1C59"/>
    <w:rsid w:val="035148F2"/>
    <w:rsid w:val="03773E20"/>
    <w:rsid w:val="03A63B37"/>
    <w:rsid w:val="03B64756"/>
    <w:rsid w:val="03C40BD7"/>
    <w:rsid w:val="03C50E3C"/>
    <w:rsid w:val="041476CE"/>
    <w:rsid w:val="04414B19"/>
    <w:rsid w:val="044B7FA6"/>
    <w:rsid w:val="04AD1BD1"/>
    <w:rsid w:val="04C44E77"/>
    <w:rsid w:val="04ED2F17"/>
    <w:rsid w:val="04F44F52"/>
    <w:rsid w:val="050C5CEB"/>
    <w:rsid w:val="050E4233"/>
    <w:rsid w:val="053122D0"/>
    <w:rsid w:val="055051F3"/>
    <w:rsid w:val="05681A7F"/>
    <w:rsid w:val="05AB7BBE"/>
    <w:rsid w:val="06337A87"/>
    <w:rsid w:val="06641E8F"/>
    <w:rsid w:val="06697925"/>
    <w:rsid w:val="067200A1"/>
    <w:rsid w:val="06723865"/>
    <w:rsid w:val="068A088D"/>
    <w:rsid w:val="06955288"/>
    <w:rsid w:val="06AB1EDD"/>
    <w:rsid w:val="06C83D54"/>
    <w:rsid w:val="06D066F6"/>
    <w:rsid w:val="06F56240"/>
    <w:rsid w:val="070B2565"/>
    <w:rsid w:val="070F4D5F"/>
    <w:rsid w:val="07610E7C"/>
    <w:rsid w:val="0773236F"/>
    <w:rsid w:val="07853FF2"/>
    <w:rsid w:val="0798023B"/>
    <w:rsid w:val="07B33FE5"/>
    <w:rsid w:val="07CB658A"/>
    <w:rsid w:val="0825634E"/>
    <w:rsid w:val="082C4D37"/>
    <w:rsid w:val="08506FFB"/>
    <w:rsid w:val="0858227F"/>
    <w:rsid w:val="0863224C"/>
    <w:rsid w:val="089F4799"/>
    <w:rsid w:val="08F1576A"/>
    <w:rsid w:val="091066B6"/>
    <w:rsid w:val="091D1F08"/>
    <w:rsid w:val="0941653B"/>
    <w:rsid w:val="09512FC9"/>
    <w:rsid w:val="095E40B7"/>
    <w:rsid w:val="0969226A"/>
    <w:rsid w:val="09730AC2"/>
    <w:rsid w:val="097A7FD3"/>
    <w:rsid w:val="098175AE"/>
    <w:rsid w:val="09890F77"/>
    <w:rsid w:val="09C10B8E"/>
    <w:rsid w:val="09D32E41"/>
    <w:rsid w:val="09E0077E"/>
    <w:rsid w:val="09FB55B8"/>
    <w:rsid w:val="0A0D0E47"/>
    <w:rsid w:val="0A2148F3"/>
    <w:rsid w:val="0A264B9C"/>
    <w:rsid w:val="0A5F5B47"/>
    <w:rsid w:val="0A7D7D7B"/>
    <w:rsid w:val="0AA20C7C"/>
    <w:rsid w:val="0AA43EF4"/>
    <w:rsid w:val="0AA7304A"/>
    <w:rsid w:val="0B092A20"/>
    <w:rsid w:val="0B226D17"/>
    <w:rsid w:val="0B332F69"/>
    <w:rsid w:val="0B6D03AF"/>
    <w:rsid w:val="0B8E420A"/>
    <w:rsid w:val="0B9B3F01"/>
    <w:rsid w:val="0B9F3D21"/>
    <w:rsid w:val="0BA92DF2"/>
    <w:rsid w:val="0BBC2B25"/>
    <w:rsid w:val="0BC6590F"/>
    <w:rsid w:val="0BC81863"/>
    <w:rsid w:val="0C2E6B18"/>
    <w:rsid w:val="0C460641"/>
    <w:rsid w:val="0C492254"/>
    <w:rsid w:val="0C5E17F2"/>
    <w:rsid w:val="0C654FCB"/>
    <w:rsid w:val="0C714972"/>
    <w:rsid w:val="0CBB1B3F"/>
    <w:rsid w:val="0CE73BD2"/>
    <w:rsid w:val="0CF062DA"/>
    <w:rsid w:val="0D40656F"/>
    <w:rsid w:val="0D410C77"/>
    <w:rsid w:val="0D583071"/>
    <w:rsid w:val="0D6C2329"/>
    <w:rsid w:val="0D8B2166"/>
    <w:rsid w:val="0DB2629C"/>
    <w:rsid w:val="0DB77A48"/>
    <w:rsid w:val="0DBB1E39"/>
    <w:rsid w:val="0DF01E5A"/>
    <w:rsid w:val="0E1A7B5F"/>
    <w:rsid w:val="0E2F75DE"/>
    <w:rsid w:val="0E395546"/>
    <w:rsid w:val="0E567261"/>
    <w:rsid w:val="0E5D4EFA"/>
    <w:rsid w:val="0E6A2D0C"/>
    <w:rsid w:val="0EF6634E"/>
    <w:rsid w:val="0F0853AB"/>
    <w:rsid w:val="0F1F7FAA"/>
    <w:rsid w:val="0F5E01F9"/>
    <w:rsid w:val="0F7C3DCB"/>
    <w:rsid w:val="0FCA2856"/>
    <w:rsid w:val="0FD52407"/>
    <w:rsid w:val="1025013C"/>
    <w:rsid w:val="10264A11"/>
    <w:rsid w:val="104024BB"/>
    <w:rsid w:val="104F0D37"/>
    <w:rsid w:val="108431B6"/>
    <w:rsid w:val="1099170E"/>
    <w:rsid w:val="10AE0AD5"/>
    <w:rsid w:val="10B07591"/>
    <w:rsid w:val="10B63FE7"/>
    <w:rsid w:val="10D1545A"/>
    <w:rsid w:val="10D932B0"/>
    <w:rsid w:val="10E01743"/>
    <w:rsid w:val="10F20DB8"/>
    <w:rsid w:val="10F746C7"/>
    <w:rsid w:val="110F6AF2"/>
    <w:rsid w:val="111F7DDE"/>
    <w:rsid w:val="1134136B"/>
    <w:rsid w:val="113646D0"/>
    <w:rsid w:val="114C3E15"/>
    <w:rsid w:val="114E2471"/>
    <w:rsid w:val="117620BD"/>
    <w:rsid w:val="119B1980"/>
    <w:rsid w:val="11A11D86"/>
    <w:rsid w:val="11BA2E9B"/>
    <w:rsid w:val="11C100E3"/>
    <w:rsid w:val="11C449B6"/>
    <w:rsid w:val="11D30BC8"/>
    <w:rsid w:val="11F33019"/>
    <w:rsid w:val="120155EA"/>
    <w:rsid w:val="12065C2C"/>
    <w:rsid w:val="12527EEB"/>
    <w:rsid w:val="125434CB"/>
    <w:rsid w:val="128A5C1F"/>
    <w:rsid w:val="12BF20C4"/>
    <w:rsid w:val="12C07EA3"/>
    <w:rsid w:val="12D93FBD"/>
    <w:rsid w:val="12DE631E"/>
    <w:rsid w:val="12E03C7B"/>
    <w:rsid w:val="12F7579B"/>
    <w:rsid w:val="13143C4F"/>
    <w:rsid w:val="13230AB8"/>
    <w:rsid w:val="13604A2B"/>
    <w:rsid w:val="137D1840"/>
    <w:rsid w:val="14296984"/>
    <w:rsid w:val="145244A3"/>
    <w:rsid w:val="14652C33"/>
    <w:rsid w:val="146F40A5"/>
    <w:rsid w:val="14AB1344"/>
    <w:rsid w:val="14E86739"/>
    <w:rsid w:val="1509588B"/>
    <w:rsid w:val="150A0CC6"/>
    <w:rsid w:val="150C3908"/>
    <w:rsid w:val="154F136D"/>
    <w:rsid w:val="156B7752"/>
    <w:rsid w:val="15720F1A"/>
    <w:rsid w:val="15A65BDE"/>
    <w:rsid w:val="16253F7C"/>
    <w:rsid w:val="16290DB7"/>
    <w:rsid w:val="166170BF"/>
    <w:rsid w:val="16623626"/>
    <w:rsid w:val="166B756E"/>
    <w:rsid w:val="16976A78"/>
    <w:rsid w:val="16BF7FD2"/>
    <w:rsid w:val="16F413C5"/>
    <w:rsid w:val="17136EBE"/>
    <w:rsid w:val="171E6442"/>
    <w:rsid w:val="17732C32"/>
    <w:rsid w:val="178C5AA1"/>
    <w:rsid w:val="17B40B54"/>
    <w:rsid w:val="17D13A8A"/>
    <w:rsid w:val="17D86937"/>
    <w:rsid w:val="17E93564"/>
    <w:rsid w:val="17FA746E"/>
    <w:rsid w:val="180A5EB2"/>
    <w:rsid w:val="182D66FF"/>
    <w:rsid w:val="18482E3D"/>
    <w:rsid w:val="1850547D"/>
    <w:rsid w:val="18581E15"/>
    <w:rsid w:val="186A3147"/>
    <w:rsid w:val="189D359A"/>
    <w:rsid w:val="18BE0EC7"/>
    <w:rsid w:val="18CC3E39"/>
    <w:rsid w:val="18CD2AB7"/>
    <w:rsid w:val="19045B0B"/>
    <w:rsid w:val="19170C32"/>
    <w:rsid w:val="191E097B"/>
    <w:rsid w:val="191F2535"/>
    <w:rsid w:val="1968612C"/>
    <w:rsid w:val="198F3BAA"/>
    <w:rsid w:val="19A614B8"/>
    <w:rsid w:val="19AF356D"/>
    <w:rsid w:val="19C31F4B"/>
    <w:rsid w:val="19C37774"/>
    <w:rsid w:val="1A06712A"/>
    <w:rsid w:val="1A4F5A0F"/>
    <w:rsid w:val="1A553486"/>
    <w:rsid w:val="1A903AFB"/>
    <w:rsid w:val="1A9F47EB"/>
    <w:rsid w:val="1AC504AA"/>
    <w:rsid w:val="1AE87011"/>
    <w:rsid w:val="1AEC30F6"/>
    <w:rsid w:val="1B02302D"/>
    <w:rsid w:val="1B1A33C4"/>
    <w:rsid w:val="1B1F09DB"/>
    <w:rsid w:val="1B2C3D62"/>
    <w:rsid w:val="1B3C5CF6"/>
    <w:rsid w:val="1B8A408D"/>
    <w:rsid w:val="1BC610C0"/>
    <w:rsid w:val="1BD45D7F"/>
    <w:rsid w:val="1BE40B16"/>
    <w:rsid w:val="1C3343A5"/>
    <w:rsid w:val="1C813142"/>
    <w:rsid w:val="1C9411E8"/>
    <w:rsid w:val="1CA13430"/>
    <w:rsid w:val="1CC03A12"/>
    <w:rsid w:val="1D1F30E6"/>
    <w:rsid w:val="1D2C3DCB"/>
    <w:rsid w:val="1D5E4B4D"/>
    <w:rsid w:val="1D756FD8"/>
    <w:rsid w:val="1D85674B"/>
    <w:rsid w:val="1D8F0099"/>
    <w:rsid w:val="1D92281F"/>
    <w:rsid w:val="1DC36B43"/>
    <w:rsid w:val="1DE30E53"/>
    <w:rsid w:val="1DEA26C9"/>
    <w:rsid w:val="1DFB6CA8"/>
    <w:rsid w:val="1E0345E3"/>
    <w:rsid w:val="1E295F39"/>
    <w:rsid w:val="1E3875B4"/>
    <w:rsid w:val="1E3B2E59"/>
    <w:rsid w:val="1E971434"/>
    <w:rsid w:val="1EB55657"/>
    <w:rsid w:val="1EC25843"/>
    <w:rsid w:val="1EF26F31"/>
    <w:rsid w:val="1F3A0DF5"/>
    <w:rsid w:val="1F3E7BA5"/>
    <w:rsid w:val="1F446C62"/>
    <w:rsid w:val="1F63536C"/>
    <w:rsid w:val="1FCF199E"/>
    <w:rsid w:val="1FDB355A"/>
    <w:rsid w:val="20111A47"/>
    <w:rsid w:val="206052EB"/>
    <w:rsid w:val="20684BD2"/>
    <w:rsid w:val="208A041F"/>
    <w:rsid w:val="20A93CF0"/>
    <w:rsid w:val="20B1759E"/>
    <w:rsid w:val="20B95E0B"/>
    <w:rsid w:val="20C9731A"/>
    <w:rsid w:val="20D84D16"/>
    <w:rsid w:val="20E63E66"/>
    <w:rsid w:val="20FB5B06"/>
    <w:rsid w:val="20FE5145"/>
    <w:rsid w:val="20FE744A"/>
    <w:rsid w:val="212307EB"/>
    <w:rsid w:val="21283337"/>
    <w:rsid w:val="21336DC5"/>
    <w:rsid w:val="2187601D"/>
    <w:rsid w:val="21947BAB"/>
    <w:rsid w:val="21A315AE"/>
    <w:rsid w:val="21A536BC"/>
    <w:rsid w:val="21E6480C"/>
    <w:rsid w:val="220A5895"/>
    <w:rsid w:val="226C5CDE"/>
    <w:rsid w:val="22AD2E87"/>
    <w:rsid w:val="22CC5DFA"/>
    <w:rsid w:val="22EA7B20"/>
    <w:rsid w:val="22F83FEB"/>
    <w:rsid w:val="232203C9"/>
    <w:rsid w:val="23347BE7"/>
    <w:rsid w:val="234B6811"/>
    <w:rsid w:val="238642D3"/>
    <w:rsid w:val="23A264A3"/>
    <w:rsid w:val="23B97CFA"/>
    <w:rsid w:val="23BF0FAD"/>
    <w:rsid w:val="23D51086"/>
    <w:rsid w:val="23D923B3"/>
    <w:rsid w:val="24082DE2"/>
    <w:rsid w:val="241D40F7"/>
    <w:rsid w:val="24313505"/>
    <w:rsid w:val="244B1B89"/>
    <w:rsid w:val="247753E3"/>
    <w:rsid w:val="24B04DB0"/>
    <w:rsid w:val="24B72417"/>
    <w:rsid w:val="24CE0C75"/>
    <w:rsid w:val="24DE3325"/>
    <w:rsid w:val="24FF2E53"/>
    <w:rsid w:val="25203CCD"/>
    <w:rsid w:val="253D33B8"/>
    <w:rsid w:val="25443122"/>
    <w:rsid w:val="254565D4"/>
    <w:rsid w:val="254F5227"/>
    <w:rsid w:val="256C785E"/>
    <w:rsid w:val="258168D4"/>
    <w:rsid w:val="258A2459"/>
    <w:rsid w:val="25A3422E"/>
    <w:rsid w:val="25FF3575"/>
    <w:rsid w:val="261158EC"/>
    <w:rsid w:val="2615738A"/>
    <w:rsid w:val="26345C82"/>
    <w:rsid w:val="2679643D"/>
    <w:rsid w:val="269F25F8"/>
    <w:rsid w:val="26CB6B97"/>
    <w:rsid w:val="26E4759F"/>
    <w:rsid w:val="26E8081A"/>
    <w:rsid w:val="26FF7527"/>
    <w:rsid w:val="2702798F"/>
    <w:rsid w:val="270858B9"/>
    <w:rsid w:val="270C0856"/>
    <w:rsid w:val="276854B7"/>
    <w:rsid w:val="279D3598"/>
    <w:rsid w:val="27C13545"/>
    <w:rsid w:val="27E50D7B"/>
    <w:rsid w:val="27E56B08"/>
    <w:rsid w:val="27EC2D5C"/>
    <w:rsid w:val="28352E30"/>
    <w:rsid w:val="284302CA"/>
    <w:rsid w:val="28514C08"/>
    <w:rsid w:val="28750179"/>
    <w:rsid w:val="28816600"/>
    <w:rsid w:val="28CD1096"/>
    <w:rsid w:val="28D14C3B"/>
    <w:rsid w:val="291B0A33"/>
    <w:rsid w:val="2972066D"/>
    <w:rsid w:val="29852351"/>
    <w:rsid w:val="299B7DC6"/>
    <w:rsid w:val="29A64132"/>
    <w:rsid w:val="29E4176D"/>
    <w:rsid w:val="29F413A1"/>
    <w:rsid w:val="29F42574"/>
    <w:rsid w:val="2A0D16B0"/>
    <w:rsid w:val="2A19614D"/>
    <w:rsid w:val="2A660668"/>
    <w:rsid w:val="2A6A6A0E"/>
    <w:rsid w:val="2A952904"/>
    <w:rsid w:val="2ABD0727"/>
    <w:rsid w:val="2B1C0A93"/>
    <w:rsid w:val="2B7759E6"/>
    <w:rsid w:val="2B7A6372"/>
    <w:rsid w:val="2B883191"/>
    <w:rsid w:val="2C046306"/>
    <w:rsid w:val="2C2C2F57"/>
    <w:rsid w:val="2C5C383D"/>
    <w:rsid w:val="2C802E46"/>
    <w:rsid w:val="2C8F3869"/>
    <w:rsid w:val="2CA97459"/>
    <w:rsid w:val="2D2D4E72"/>
    <w:rsid w:val="2D355CD5"/>
    <w:rsid w:val="2D371BB4"/>
    <w:rsid w:val="2D670A59"/>
    <w:rsid w:val="2D7628FE"/>
    <w:rsid w:val="2D7F0EA3"/>
    <w:rsid w:val="2DA17561"/>
    <w:rsid w:val="2E136171"/>
    <w:rsid w:val="2E176FC8"/>
    <w:rsid w:val="2E833928"/>
    <w:rsid w:val="2E8F637B"/>
    <w:rsid w:val="2EB86D24"/>
    <w:rsid w:val="2EBD65E6"/>
    <w:rsid w:val="2EDD162D"/>
    <w:rsid w:val="2EEF2C8F"/>
    <w:rsid w:val="2EF7784D"/>
    <w:rsid w:val="2EF963CD"/>
    <w:rsid w:val="2F296999"/>
    <w:rsid w:val="2F4E3E29"/>
    <w:rsid w:val="2F5A0F17"/>
    <w:rsid w:val="2F982F1C"/>
    <w:rsid w:val="2FC67D67"/>
    <w:rsid w:val="2FEB7E18"/>
    <w:rsid w:val="2FED7C16"/>
    <w:rsid w:val="300D46D6"/>
    <w:rsid w:val="304D1338"/>
    <w:rsid w:val="304F0124"/>
    <w:rsid w:val="305C35BB"/>
    <w:rsid w:val="305F5E2D"/>
    <w:rsid w:val="30974EA5"/>
    <w:rsid w:val="30B17ECF"/>
    <w:rsid w:val="312D39F9"/>
    <w:rsid w:val="314D7BF8"/>
    <w:rsid w:val="31687D65"/>
    <w:rsid w:val="31694E12"/>
    <w:rsid w:val="31945827"/>
    <w:rsid w:val="31947FB6"/>
    <w:rsid w:val="319C765A"/>
    <w:rsid w:val="31C74092"/>
    <w:rsid w:val="31D9148B"/>
    <w:rsid w:val="31E87F07"/>
    <w:rsid w:val="31F6017D"/>
    <w:rsid w:val="320F4EAD"/>
    <w:rsid w:val="323F45A2"/>
    <w:rsid w:val="32DD1D0C"/>
    <w:rsid w:val="331D0E28"/>
    <w:rsid w:val="332267A3"/>
    <w:rsid w:val="336153C3"/>
    <w:rsid w:val="33694A91"/>
    <w:rsid w:val="33BB75D8"/>
    <w:rsid w:val="33C1727E"/>
    <w:rsid w:val="33D60378"/>
    <w:rsid w:val="33E51880"/>
    <w:rsid w:val="340E6862"/>
    <w:rsid w:val="34245624"/>
    <w:rsid w:val="34580D8D"/>
    <w:rsid w:val="346B298C"/>
    <w:rsid w:val="34883F28"/>
    <w:rsid w:val="34A8127D"/>
    <w:rsid w:val="34BB756E"/>
    <w:rsid w:val="34C7526C"/>
    <w:rsid w:val="34CA7A07"/>
    <w:rsid w:val="34DB4019"/>
    <w:rsid w:val="34DD2410"/>
    <w:rsid w:val="35330A2E"/>
    <w:rsid w:val="354118F3"/>
    <w:rsid w:val="35447798"/>
    <w:rsid w:val="355E5FB8"/>
    <w:rsid w:val="3586109B"/>
    <w:rsid w:val="359F479A"/>
    <w:rsid w:val="35C92FA9"/>
    <w:rsid w:val="35CA338A"/>
    <w:rsid w:val="35D57138"/>
    <w:rsid w:val="35F036F8"/>
    <w:rsid w:val="35F7741B"/>
    <w:rsid w:val="35F9034E"/>
    <w:rsid w:val="35FB40C6"/>
    <w:rsid w:val="36095AC6"/>
    <w:rsid w:val="36105698"/>
    <w:rsid w:val="36417E20"/>
    <w:rsid w:val="364A1A5A"/>
    <w:rsid w:val="368F1DD0"/>
    <w:rsid w:val="36B420F0"/>
    <w:rsid w:val="36DB5CA6"/>
    <w:rsid w:val="36DD577B"/>
    <w:rsid w:val="36F95D83"/>
    <w:rsid w:val="372B740E"/>
    <w:rsid w:val="37494288"/>
    <w:rsid w:val="374962FC"/>
    <w:rsid w:val="374C1392"/>
    <w:rsid w:val="37515CAB"/>
    <w:rsid w:val="375C0B95"/>
    <w:rsid w:val="375F50D6"/>
    <w:rsid w:val="37674D18"/>
    <w:rsid w:val="37E455AA"/>
    <w:rsid w:val="37EF7C5B"/>
    <w:rsid w:val="388619C8"/>
    <w:rsid w:val="388A2724"/>
    <w:rsid w:val="38D429AD"/>
    <w:rsid w:val="38FD1F03"/>
    <w:rsid w:val="391D4D4F"/>
    <w:rsid w:val="391F0198"/>
    <w:rsid w:val="392A6B21"/>
    <w:rsid w:val="39355B41"/>
    <w:rsid w:val="397519F1"/>
    <w:rsid w:val="39876B07"/>
    <w:rsid w:val="3991089E"/>
    <w:rsid w:val="39D620EE"/>
    <w:rsid w:val="39EA7D20"/>
    <w:rsid w:val="39F230AE"/>
    <w:rsid w:val="3A2674FF"/>
    <w:rsid w:val="3A3A0482"/>
    <w:rsid w:val="3A552DB1"/>
    <w:rsid w:val="3A5E08C6"/>
    <w:rsid w:val="3A6A044C"/>
    <w:rsid w:val="3A810912"/>
    <w:rsid w:val="3A8328DC"/>
    <w:rsid w:val="3ABE5312"/>
    <w:rsid w:val="3AE5468D"/>
    <w:rsid w:val="3B005CDB"/>
    <w:rsid w:val="3B041BC7"/>
    <w:rsid w:val="3B2D375C"/>
    <w:rsid w:val="3B7E28A9"/>
    <w:rsid w:val="3BC74FDF"/>
    <w:rsid w:val="3BD91954"/>
    <w:rsid w:val="3BED2B58"/>
    <w:rsid w:val="3BFC1754"/>
    <w:rsid w:val="3C6B7ACC"/>
    <w:rsid w:val="3C8A7F52"/>
    <w:rsid w:val="3C940BED"/>
    <w:rsid w:val="3CB43353"/>
    <w:rsid w:val="3D1D3D2A"/>
    <w:rsid w:val="3D274253"/>
    <w:rsid w:val="3D387842"/>
    <w:rsid w:val="3D3A3659"/>
    <w:rsid w:val="3D475CED"/>
    <w:rsid w:val="3D5F13DF"/>
    <w:rsid w:val="3D762284"/>
    <w:rsid w:val="3D803103"/>
    <w:rsid w:val="3D8C3453"/>
    <w:rsid w:val="3D9D7DD9"/>
    <w:rsid w:val="3DF3752D"/>
    <w:rsid w:val="3E0C2D77"/>
    <w:rsid w:val="3E36269E"/>
    <w:rsid w:val="3E502AD5"/>
    <w:rsid w:val="3E552D1B"/>
    <w:rsid w:val="3E5C671D"/>
    <w:rsid w:val="3E772273"/>
    <w:rsid w:val="3E7D18C3"/>
    <w:rsid w:val="3F2420A0"/>
    <w:rsid w:val="3F484185"/>
    <w:rsid w:val="3F915DDF"/>
    <w:rsid w:val="3F9E7819"/>
    <w:rsid w:val="3FA55549"/>
    <w:rsid w:val="3FC27A03"/>
    <w:rsid w:val="3FC46CFF"/>
    <w:rsid w:val="3FC90AB1"/>
    <w:rsid w:val="3FC91D2C"/>
    <w:rsid w:val="3FE55926"/>
    <w:rsid w:val="4027498D"/>
    <w:rsid w:val="40282516"/>
    <w:rsid w:val="403A6391"/>
    <w:rsid w:val="403F2E01"/>
    <w:rsid w:val="40474D39"/>
    <w:rsid w:val="40545C87"/>
    <w:rsid w:val="40720BA9"/>
    <w:rsid w:val="40890521"/>
    <w:rsid w:val="4093139F"/>
    <w:rsid w:val="409B387A"/>
    <w:rsid w:val="40FA374E"/>
    <w:rsid w:val="40FE4B88"/>
    <w:rsid w:val="410F6C78"/>
    <w:rsid w:val="4155118D"/>
    <w:rsid w:val="41624024"/>
    <w:rsid w:val="41B16900"/>
    <w:rsid w:val="41CC4E5D"/>
    <w:rsid w:val="41EE1C02"/>
    <w:rsid w:val="42607140"/>
    <w:rsid w:val="427E21E6"/>
    <w:rsid w:val="428447B0"/>
    <w:rsid w:val="42884F34"/>
    <w:rsid w:val="42A05195"/>
    <w:rsid w:val="42A1121C"/>
    <w:rsid w:val="42A931D5"/>
    <w:rsid w:val="42DE5F85"/>
    <w:rsid w:val="42E2767A"/>
    <w:rsid w:val="433E3844"/>
    <w:rsid w:val="434352D5"/>
    <w:rsid w:val="43A476D0"/>
    <w:rsid w:val="43E3619A"/>
    <w:rsid w:val="44335DEB"/>
    <w:rsid w:val="446D4091"/>
    <w:rsid w:val="45D244ED"/>
    <w:rsid w:val="45F2680F"/>
    <w:rsid w:val="464D317F"/>
    <w:rsid w:val="467D55CB"/>
    <w:rsid w:val="46A4669E"/>
    <w:rsid w:val="46F16D86"/>
    <w:rsid w:val="471C2EC3"/>
    <w:rsid w:val="47413903"/>
    <w:rsid w:val="476E1996"/>
    <w:rsid w:val="479F0F41"/>
    <w:rsid w:val="47A60310"/>
    <w:rsid w:val="47A619B8"/>
    <w:rsid w:val="48036E0A"/>
    <w:rsid w:val="480B1106"/>
    <w:rsid w:val="484E1AC4"/>
    <w:rsid w:val="48DF33D4"/>
    <w:rsid w:val="49706721"/>
    <w:rsid w:val="498B5309"/>
    <w:rsid w:val="49913F56"/>
    <w:rsid w:val="49EB7B56"/>
    <w:rsid w:val="4AAE43DF"/>
    <w:rsid w:val="4B055DEA"/>
    <w:rsid w:val="4B061819"/>
    <w:rsid w:val="4B291FAD"/>
    <w:rsid w:val="4B34271B"/>
    <w:rsid w:val="4B4B5EAD"/>
    <w:rsid w:val="4B595731"/>
    <w:rsid w:val="4B8819F0"/>
    <w:rsid w:val="4B9A2872"/>
    <w:rsid w:val="4BC32B39"/>
    <w:rsid w:val="4BEB49FB"/>
    <w:rsid w:val="4BF6672E"/>
    <w:rsid w:val="4C137A41"/>
    <w:rsid w:val="4C373527"/>
    <w:rsid w:val="4C5378A6"/>
    <w:rsid w:val="4CB86415"/>
    <w:rsid w:val="4CEE0089"/>
    <w:rsid w:val="4D027E3D"/>
    <w:rsid w:val="4D14727D"/>
    <w:rsid w:val="4D2E7ACC"/>
    <w:rsid w:val="4D3D2042"/>
    <w:rsid w:val="4D5C1497"/>
    <w:rsid w:val="4D7C62C4"/>
    <w:rsid w:val="4D9C6592"/>
    <w:rsid w:val="4DC87E42"/>
    <w:rsid w:val="4DDB4DA4"/>
    <w:rsid w:val="4DE754BB"/>
    <w:rsid w:val="4DF8011D"/>
    <w:rsid w:val="4DFC7B4E"/>
    <w:rsid w:val="4E235B10"/>
    <w:rsid w:val="4E500DAD"/>
    <w:rsid w:val="4E726A98"/>
    <w:rsid w:val="4E876D2E"/>
    <w:rsid w:val="4EAB4500"/>
    <w:rsid w:val="4EAF47F1"/>
    <w:rsid w:val="4EF43951"/>
    <w:rsid w:val="4F082F58"/>
    <w:rsid w:val="4F0C0C9A"/>
    <w:rsid w:val="4F113781"/>
    <w:rsid w:val="4F22505D"/>
    <w:rsid w:val="4F682BA7"/>
    <w:rsid w:val="4FE258BE"/>
    <w:rsid w:val="4FFB36B7"/>
    <w:rsid w:val="500A342C"/>
    <w:rsid w:val="504F2A30"/>
    <w:rsid w:val="506D02DC"/>
    <w:rsid w:val="507A449F"/>
    <w:rsid w:val="50B42B73"/>
    <w:rsid w:val="50EC48E0"/>
    <w:rsid w:val="50FB36C9"/>
    <w:rsid w:val="51231E30"/>
    <w:rsid w:val="51256043"/>
    <w:rsid w:val="51275918"/>
    <w:rsid w:val="512C25BD"/>
    <w:rsid w:val="51710DB4"/>
    <w:rsid w:val="51AC6F62"/>
    <w:rsid w:val="51D526C0"/>
    <w:rsid w:val="52151C14"/>
    <w:rsid w:val="522A20A6"/>
    <w:rsid w:val="52426781"/>
    <w:rsid w:val="525F5C15"/>
    <w:rsid w:val="527402A2"/>
    <w:rsid w:val="52AF02BB"/>
    <w:rsid w:val="52BF66E6"/>
    <w:rsid w:val="52C07AD2"/>
    <w:rsid w:val="52CB656F"/>
    <w:rsid w:val="52DC4EDD"/>
    <w:rsid w:val="53080FC6"/>
    <w:rsid w:val="530F6FAB"/>
    <w:rsid w:val="53351557"/>
    <w:rsid w:val="534D55F5"/>
    <w:rsid w:val="539A4E6F"/>
    <w:rsid w:val="541D2F13"/>
    <w:rsid w:val="54324CFF"/>
    <w:rsid w:val="545C2EE9"/>
    <w:rsid w:val="54927B75"/>
    <w:rsid w:val="54971006"/>
    <w:rsid w:val="54D84738"/>
    <w:rsid w:val="54EB3100"/>
    <w:rsid w:val="55565F2B"/>
    <w:rsid w:val="555F281F"/>
    <w:rsid w:val="556E620B"/>
    <w:rsid w:val="55AE2AAB"/>
    <w:rsid w:val="56220DA3"/>
    <w:rsid w:val="565F14EE"/>
    <w:rsid w:val="56F65890"/>
    <w:rsid w:val="570D6EF5"/>
    <w:rsid w:val="57147ABD"/>
    <w:rsid w:val="57880124"/>
    <w:rsid w:val="579C690E"/>
    <w:rsid w:val="57E767C7"/>
    <w:rsid w:val="58014CEF"/>
    <w:rsid w:val="589139F6"/>
    <w:rsid w:val="59081E8F"/>
    <w:rsid w:val="591250FF"/>
    <w:rsid w:val="59854D6E"/>
    <w:rsid w:val="59A72B67"/>
    <w:rsid w:val="59D137D6"/>
    <w:rsid w:val="5A0843E5"/>
    <w:rsid w:val="5A2C3F9F"/>
    <w:rsid w:val="5A9E542E"/>
    <w:rsid w:val="5ACD5782"/>
    <w:rsid w:val="5ADC2EAC"/>
    <w:rsid w:val="5ADE798F"/>
    <w:rsid w:val="5AE03627"/>
    <w:rsid w:val="5BA47316"/>
    <w:rsid w:val="5BBE639B"/>
    <w:rsid w:val="5C5E5906"/>
    <w:rsid w:val="5C62014C"/>
    <w:rsid w:val="5C714ADB"/>
    <w:rsid w:val="5C936557"/>
    <w:rsid w:val="5CA51446"/>
    <w:rsid w:val="5CAE2D6C"/>
    <w:rsid w:val="5CF64412"/>
    <w:rsid w:val="5D3C099D"/>
    <w:rsid w:val="5D5044C5"/>
    <w:rsid w:val="5D606CF8"/>
    <w:rsid w:val="5D6A3EFC"/>
    <w:rsid w:val="5D6F2B20"/>
    <w:rsid w:val="5D7A5920"/>
    <w:rsid w:val="5DAA3B58"/>
    <w:rsid w:val="5DB20425"/>
    <w:rsid w:val="5DB76275"/>
    <w:rsid w:val="5DBF5043"/>
    <w:rsid w:val="5DD13F99"/>
    <w:rsid w:val="5E1D5979"/>
    <w:rsid w:val="5E2A6034"/>
    <w:rsid w:val="5E3E6996"/>
    <w:rsid w:val="5E413D91"/>
    <w:rsid w:val="5E474642"/>
    <w:rsid w:val="5E556C26"/>
    <w:rsid w:val="5E5F1420"/>
    <w:rsid w:val="5E764628"/>
    <w:rsid w:val="5E9A1E1F"/>
    <w:rsid w:val="5EE43C8B"/>
    <w:rsid w:val="5EEF08B6"/>
    <w:rsid w:val="5F5C5326"/>
    <w:rsid w:val="5F5D1995"/>
    <w:rsid w:val="5FE377F5"/>
    <w:rsid w:val="604A426A"/>
    <w:rsid w:val="60502D88"/>
    <w:rsid w:val="605738FC"/>
    <w:rsid w:val="60575AEE"/>
    <w:rsid w:val="60923A3E"/>
    <w:rsid w:val="60A24FBB"/>
    <w:rsid w:val="60B06CDD"/>
    <w:rsid w:val="60EC26DA"/>
    <w:rsid w:val="610F0176"/>
    <w:rsid w:val="61156BC5"/>
    <w:rsid w:val="61265095"/>
    <w:rsid w:val="613805BE"/>
    <w:rsid w:val="615A6480"/>
    <w:rsid w:val="61A222DE"/>
    <w:rsid w:val="61A84276"/>
    <w:rsid w:val="61B76844"/>
    <w:rsid w:val="61D1615A"/>
    <w:rsid w:val="61F415C1"/>
    <w:rsid w:val="61F702C1"/>
    <w:rsid w:val="62092E18"/>
    <w:rsid w:val="62221E19"/>
    <w:rsid w:val="629B1C54"/>
    <w:rsid w:val="62AC11AF"/>
    <w:rsid w:val="62CB46F3"/>
    <w:rsid w:val="62F86F8D"/>
    <w:rsid w:val="62FD41E2"/>
    <w:rsid w:val="63072608"/>
    <w:rsid w:val="632260E1"/>
    <w:rsid w:val="63275C4B"/>
    <w:rsid w:val="634035CD"/>
    <w:rsid w:val="63444D36"/>
    <w:rsid w:val="63610430"/>
    <w:rsid w:val="63624F16"/>
    <w:rsid w:val="63827F32"/>
    <w:rsid w:val="63BA4B98"/>
    <w:rsid w:val="6424735F"/>
    <w:rsid w:val="643B2DBE"/>
    <w:rsid w:val="644D2E33"/>
    <w:rsid w:val="64B61035"/>
    <w:rsid w:val="64D540DD"/>
    <w:rsid w:val="64E63914"/>
    <w:rsid w:val="651920CD"/>
    <w:rsid w:val="65233E90"/>
    <w:rsid w:val="65257F82"/>
    <w:rsid w:val="652F179F"/>
    <w:rsid w:val="654A79CF"/>
    <w:rsid w:val="654F629E"/>
    <w:rsid w:val="656541AE"/>
    <w:rsid w:val="6577481E"/>
    <w:rsid w:val="657B6664"/>
    <w:rsid w:val="65CF3C36"/>
    <w:rsid w:val="65D327C2"/>
    <w:rsid w:val="663403FA"/>
    <w:rsid w:val="663F32AC"/>
    <w:rsid w:val="664A412A"/>
    <w:rsid w:val="66575F5A"/>
    <w:rsid w:val="665B6338"/>
    <w:rsid w:val="6667335E"/>
    <w:rsid w:val="66AB6A9E"/>
    <w:rsid w:val="66AD6467"/>
    <w:rsid w:val="66CE0410"/>
    <w:rsid w:val="66E00A78"/>
    <w:rsid w:val="671E5F06"/>
    <w:rsid w:val="675E5587"/>
    <w:rsid w:val="67602FBE"/>
    <w:rsid w:val="67943031"/>
    <w:rsid w:val="67A725A3"/>
    <w:rsid w:val="681D1BAA"/>
    <w:rsid w:val="68242ED6"/>
    <w:rsid w:val="682D0E11"/>
    <w:rsid w:val="683323A7"/>
    <w:rsid w:val="6838772E"/>
    <w:rsid w:val="68646FFA"/>
    <w:rsid w:val="687A063E"/>
    <w:rsid w:val="68B3273C"/>
    <w:rsid w:val="68B73071"/>
    <w:rsid w:val="69416106"/>
    <w:rsid w:val="69547558"/>
    <w:rsid w:val="69591DF9"/>
    <w:rsid w:val="696B3235"/>
    <w:rsid w:val="69C430DE"/>
    <w:rsid w:val="69E75EFB"/>
    <w:rsid w:val="69E93C5A"/>
    <w:rsid w:val="6A055A0F"/>
    <w:rsid w:val="6A1F142A"/>
    <w:rsid w:val="6A7309D9"/>
    <w:rsid w:val="6A781771"/>
    <w:rsid w:val="6A7A019A"/>
    <w:rsid w:val="6A83679D"/>
    <w:rsid w:val="6AEF52A0"/>
    <w:rsid w:val="6B1721F5"/>
    <w:rsid w:val="6B261E64"/>
    <w:rsid w:val="6B2E2D87"/>
    <w:rsid w:val="6B363D1E"/>
    <w:rsid w:val="6B9C2E4F"/>
    <w:rsid w:val="6BCC7390"/>
    <w:rsid w:val="6BD21306"/>
    <w:rsid w:val="6C011003"/>
    <w:rsid w:val="6C012A6B"/>
    <w:rsid w:val="6C0A7EB8"/>
    <w:rsid w:val="6C4B29AA"/>
    <w:rsid w:val="6C6677E4"/>
    <w:rsid w:val="6C870873"/>
    <w:rsid w:val="6C89202F"/>
    <w:rsid w:val="6C9F2CF6"/>
    <w:rsid w:val="6CB77D0C"/>
    <w:rsid w:val="6CD372F2"/>
    <w:rsid w:val="6CE24BC7"/>
    <w:rsid w:val="6CEC6A7E"/>
    <w:rsid w:val="6D061D42"/>
    <w:rsid w:val="6D1E1E6D"/>
    <w:rsid w:val="6D5D4F5B"/>
    <w:rsid w:val="6D8211E9"/>
    <w:rsid w:val="6D864791"/>
    <w:rsid w:val="6DA440C1"/>
    <w:rsid w:val="6DA45BC5"/>
    <w:rsid w:val="6DC216F4"/>
    <w:rsid w:val="6DC26A32"/>
    <w:rsid w:val="6DC72505"/>
    <w:rsid w:val="6E064D3D"/>
    <w:rsid w:val="6E09429D"/>
    <w:rsid w:val="6E3F71CE"/>
    <w:rsid w:val="6E5612DC"/>
    <w:rsid w:val="6E5C0939"/>
    <w:rsid w:val="6E930639"/>
    <w:rsid w:val="6E9D2B39"/>
    <w:rsid w:val="6E9F26AC"/>
    <w:rsid w:val="6EDE7B06"/>
    <w:rsid w:val="6F0119B9"/>
    <w:rsid w:val="6F026887"/>
    <w:rsid w:val="6F03428F"/>
    <w:rsid w:val="6F086FB9"/>
    <w:rsid w:val="6F305E87"/>
    <w:rsid w:val="6F571A35"/>
    <w:rsid w:val="6F7C38BE"/>
    <w:rsid w:val="6F9F6A69"/>
    <w:rsid w:val="6FBD2C35"/>
    <w:rsid w:val="6FD74555"/>
    <w:rsid w:val="70453BB5"/>
    <w:rsid w:val="70535910"/>
    <w:rsid w:val="70725DB1"/>
    <w:rsid w:val="70A771E4"/>
    <w:rsid w:val="70CF785C"/>
    <w:rsid w:val="70D94A29"/>
    <w:rsid w:val="70E84C6C"/>
    <w:rsid w:val="71032582"/>
    <w:rsid w:val="71235574"/>
    <w:rsid w:val="71445C1A"/>
    <w:rsid w:val="71CA236E"/>
    <w:rsid w:val="71F11E2B"/>
    <w:rsid w:val="722515A8"/>
    <w:rsid w:val="725B5425"/>
    <w:rsid w:val="72842772"/>
    <w:rsid w:val="72AC4F50"/>
    <w:rsid w:val="72BD3ED6"/>
    <w:rsid w:val="72C53260"/>
    <w:rsid w:val="72E256EB"/>
    <w:rsid w:val="73214465"/>
    <w:rsid w:val="73266021"/>
    <w:rsid w:val="734B42E4"/>
    <w:rsid w:val="73695C0B"/>
    <w:rsid w:val="73734595"/>
    <w:rsid w:val="7384074B"/>
    <w:rsid w:val="73AE7650"/>
    <w:rsid w:val="73B85FDF"/>
    <w:rsid w:val="73C155E5"/>
    <w:rsid w:val="73C912F7"/>
    <w:rsid w:val="740708C4"/>
    <w:rsid w:val="740764DC"/>
    <w:rsid w:val="74606B9C"/>
    <w:rsid w:val="74C7766F"/>
    <w:rsid w:val="75087038"/>
    <w:rsid w:val="75794FEA"/>
    <w:rsid w:val="758078ED"/>
    <w:rsid w:val="75F40CBA"/>
    <w:rsid w:val="75F41B28"/>
    <w:rsid w:val="76054D66"/>
    <w:rsid w:val="7616425B"/>
    <w:rsid w:val="76911902"/>
    <w:rsid w:val="76A765B1"/>
    <w:rsid w:val="76C80E3D"/>
    <w:rsid w:val="76CF62D5"/>
    <w:rsid w:val="76D410CD"/>
    <w:rsid w:val="76D46970"/>
    <w:rsid w:val="76DD68F5"/>
    <w:rsid w:val="76E16C86"/>
    <w:rsid w:val="770D7109"/>
    <w:rsid w:val="770F1644"/>
    <w:rsid w:val="77111D53"/>
    <w:rsid w:val="771A67EA"/>
    <w:rsid w:val="77221B1B"/>
    <w:rsid w:val="775B1D47"/>
    <w:rsid w:val="77C04AB5"/>
    <w:rsid w:val="77E51F05"/>
    <w:rsid w:val="77E57F6C"/>
    <w:rsid w:val="77E722FD"/>
    <w:rsid w:val="78142F38"/>
    <w:rsid w:val="786B73B3"/>
    <w:rsid w:val="7872034C"/>
    <w:rsid w:val="78792D38"/>
    <w:rsid w:val="78A1246F"/>
    <w:rsid w:val="78B673FD"/>
    <w:rsid w:val="78C0027C"/>
    <w:rsid w:val="792D4EF4"/>
    <w:rsid w:val="79450A5E"/>
    <w:rsid w:val="794C6C27"/>
    <w:rsid w:val="795F1120"/>
    <w:rsid w:val="796B625E"/>
    <w:rsid w:val="799B231B"/>
    <w:rsid w:val="79A731EA"/>
    <w:rsid w:val="79A90D10"/>
    <w:rsid w:val="79AE38A9"/>
    <w:rsid w:val="79CB343D"/>
    <w:rsid w:val="79DD7B9A"/>
    <w:rsid w:val="79FC52E4"/>
    <w:rsid w:val="7A307895"/>
    <w:rsid w:val="7A5549F4"/>
    <w:rsid w:val="7A6173FA"/>
    <w:rsid w:val="7A8B21A4"/>
    <w:rsid w:val="7AA43404"/>
    <w:rsid w:val="7AC7367E"/>
    <w:rsid w:val="7AD04548"/>
    <w:rsid w:val="7AD771F9"/>
    <w:rsid w:val="7AFD1314"/>
    <w:rsid w:val="7B0E1F30"/>
    <w:rsid w:val="7B18405C"/>
    <w:rsid w:val="7B1C3CBF"/>
    <w:rsid w:val="7B3960C4"/>
    <w:rsid w:val="7B3E7DFA"/>
    <w:rsid w:val="7B43337F"/>
    <w:rsid w:val="7B534161"/>
    <w:rsid w:val="7B7A6707"/>
    <w:rsid w:val="7B960D7E"/>
    <w:rsid w:val="7BF803A1"/>
    <w:rsid w:val="7BFD37B1"/>
    <w:rsid w:val="7C0D37D8"/>
    <w:rsid w:val="7C2F1EF2"/>
    <w:rsid w:val="7C8842BC"/>
    <w:rsid w:val="7CAA54CB"/>
    <w:rsid w:val="7D1131C0"/>
    <w:rsid w:val="7D190786"/>
    <w:rsid w:val="7D20578D"/>
    <w:rsid w:val="7D514392"/>
    <w:rsid w:val="7D95511D"/>
    <w:rsid w:val="7DAE0FEB"/>
    <w:rsid w:val="7DBF3B14"/>
    <w:rsid w:val="7DCB6BB3"/>
    <w:rsid w:val="7E453E18"/>
    <w:rsid w:val="7E8C4537"/>
    <w:rsid w:val="7E9300B5"/>
    <w:rsid w:val="7EBE7234"/>
    <w:rsid w:val="7EC03750"/>
    <w:rsid w:val="7ED40090"/>
    <w:rsid w:val="7EF71189"/>
    <w:rsid w:val="7EFD24D1"/>
    <w:rsid w:val="7F0B4F92"/>
    <w:rsid w:val="7F354044"/>
    <w:rsid w:val="7F71790B"/>
    <w:rsid w:val="7F776699"/>
    <w:rsid w:val="7F894657"/>
    <w:rsid w:val="7F8D6886"/>
    <w:rsid w:val="7F8F0656"/>
    <w:rsid w:val="7F985AAF"/>
    <w:rsid w:val="7FBD35F7"/>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3">
    <w:name w:val="heading 2"/>
    <w:basedOn w:val="4"/>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6">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7">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5">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4">
    <w:name w:val="标题 55"/>
    <w:basedOn w:val="5"/>
    <w:qFormat/>
    <w:uiPriority w:val="0"/>
    <w:rPr>
      <w:rFonts w:ascii="方正黑体简体" w:eastAsia="方正黑体简体"/>
      <w:b w:val="0"/>
      <w:bCs w:val="0"/>
    </w:rPr>
  </w:style>
  <w:style w:type="paragraph" w:styleId="1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annotation text"/>
    <w:basedOn w:val="1"/>
    <w:qFormat/>
    <w:uiPriority w:val="99"/>
    <w:pPr>
      <w:jc w:val="left"/>
    </w:pPr>
    <w:rPr>
      <w:szCs w:val="20"/>
    </w:rPr>
  </w:style>
  <w:style w:type="paragraph" w:styleId="14">
    <w:name w:val="Body Text"/>
    <w:basedOn w:val="1"/>
    <w:next w:val="1"/>
    <w:qFormat/>
    <w:uiPriority w:val="0"/>
    <w:rPr>
      <w:sz w:val="28"/>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3"/>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2"/>
    <w:qFormat/>
    <w:uiPriority w:val="0"/>
    <w:rPr>
      <w:rFonts w:eastAsia="黑体"/>
      <w:bCs/>
      <w:kern w:val="44"/>
      <w:sz w:val="30"/>
      <w:szCs w:val="44"/>
    </w:rPr>
  </w:style>
  <w:style w:type="paragraph" w:customStyle="1" w:styleId="51">
    <w:name w:val="正文（首行不缩进）"/>
    <w:basedOn w:val="1"/>
    <w:qFormat/>
    <w:uiPriority w:val="0"/>
    <w:pPr>
      <w:autoSpaceDE w:val="0"/>
      <w:autoSpaceDN w:val="0"/>
      <w:adjustRightInd w:val="0"/>
      <w:snapToGrid/>
      <w:spacing w:line="360" w:lineRule="auto"/>
      <w:ind w:firstLine="0"/>
      <w:jc w:val="left"/>
    </w:pPr>
    <w:rPr>
      <w:rFonts w:ascii="Times New Roman" w:hAnsi="Times New Roman" w:cs="Times New Roman"/>
      <w:kern w:val="0"/>
      <w:sz w:val="21"/>
      <w:szCs w:val="20"/>
    </w:rPr>
  </w:style>
  <w:style w:type="paragraph" w:customStyle="1" w:styleId="52">
    <w:name w:val="bianhao1"/>
    <w:basedOn w:val="1"/>
    <w:qFormat/>
    <w:uiPriority w:val="0"/>
    <w:pPr>
      <w:numPr>
        <w:ilvl w:val="0"/>
        <w:numId w:val="3"/>
      </w:numPr>
      <w:suppressAutoHyphens/>
      <w:snapToGrid/>
      <w:spacing w:line="360" w:lineRule="auto"/>
    </w:pPr>
    <w:rPr>
      <w:rFonts w:ascii="Times New Roman" w:hAnsi="Times New Roman" w:cs="Times New Roman"/>
      <w:kern w:val="1"/>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1830</Words>
  <Characters>1860</Characters>
  <Lines>0</Lines>
  <Paragraphs>0</Paragraphs>
  <TotalTime>5</TotalTime>
  <ScaleCrop>false</ScaleCrop>
  <LinksUpToDate>false</LinksUpToDate>
  <CharactersWithSpaces>1873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2025-06-24T07:11:33Z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C897D190A099479AAB09F9A4AEC6D516_13</vt:lpwstr>
  </property>
  <property fmtid="{D5CDD505-2E9C-101B-9397-08002B2CF9AE}" pid="4" name="KSOTemplateDocerSaveRecord">
    <vt:lpwstr>eyJoZGlkIjoiOTE1N2ZjNTZhMTIwZTc1ZWY1NGZkOWQ1YjlhZjJiYzUiLCJ1c2VySWQiOiI1ODczOTI1MzYifQ==</vt:lpwstr>
  </property>
</Properties>
</file>