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320" w:line="360" w:lineRule="auto"/>
        <w:jc w:val="center"/>
        <w:outlineLvl w:val="0"/>
        <w:rPr>
          <w:rFonts w:ascii="仿宋" w:hAnsi="仿宋" w:eastAsia="仿宋"/>
          <w:b/>
          <w:sz w:val="32"/>
          <w:szCs w:val="28"/>
        </w:rPr>
      </w:pPr>
      <w:r>
        <w:rPr>
          <w:rFonts w:hint="eastAsia" w:ascii="仿宋" w:hAnsi="仿宋" w:eastAsia="仿宋"/>
          <w:b/>
          <w:sz w:val="32"/>
          <w:szCs w:val="28"/>
        </w:rPr>
        <w:t>咪咕音乐广告</w:t>
      </w:r>
      <w:r>
        <w:rPr>
          <w:rFonts w:ascii="仿宋" w:hAnsi="仿宋" w:eastAsia="仿宋"/>
          <w:b/>
          <w:sz w:val="32"/>
          <w:szCs w:val="28"/>
        </w:rPr>
        <w:t>彩铃</w:t>
      </w:r>
      <w:r>
        <w:rPr>
          <w:rFonts w:hint="eastAsia" w:ascii="仿宋" w:hAnsi="仿宋" w:eastAsia="仿宋"/>
          <w:b/>
          <w:sz w:val="32"/>
          <w:szCs w:val="28"/>
        </w:rPr>
        <w:t>媒体方合作伙伴引入</w:t>
      </w:r>
      <w:r>
        <w:rPr>
          <w:rFonts w:ascii="仿宋" w:hAnsi="仿宋" w:eastAsia="仿宋"/>
          <w:b/>
          <w:sz w:val="32"/>
          <w:szCs w:val="28"/>
        </w:rPr>
        <w:t>方案</w:t>
      </w:r>
    </w:p>
    <w:p>
      <w:pPr>
        <w:widowControl/>
        <w:jc w:val="left"/>
        <w:rPr>
          <w:rFonts w:ascii="仿宋" w:hAnsi="仿宋" w:eastAsia="仿宋"/>
          <w:sz w:val="28"/>
          <w:szCs w:val="28"/>
        </w:rPr>
      </w:pPr>
      <w:r>
        <w:rPr>
          <w:rFonts w:ascii="仿宋" w:hAnsi="仿宋" w:eastAsia="仿宋"/>
          <w:sz w:val="28"/>
          <w:szCs w:val="28"/>
        </w:rPr>
        <w:t>　　</w:t>
      </w:r>
      <w:r>
        <w:rPr>
          <w:rFonts w:hint="eastAsia" w:ascii="仿宋" w:hAnsi="仿宋" w:eastAsia="仿宋"/>
          <w:sz w:val="28"/>
          <w:szCs w:val="28"/>
        </w:rPr>
        <w:t>彩铃产品已经从单一的音频形态演进为音视频融合形态，近期，多家合作伙伴向5</w:t>
      </w:r>
      <w:r>
        <w:rPr>
          <w:rFonts w:ascii="仿宋" w:hAnsi="仿宋" w:eastAsia="仿宋"/>
          <w:sz w:val="28"/>
          <w:szCs w:val="28"/>
        </w:rPr>
        <w:t>G</w:t>
      </w:r>
      <w:r>
        <w:rPr>
          <w:rFonts w:hint="eastAsia" w:ascii="仿宋" w:hAnsi="仿宋" w:eastAsia="仿宋"/>
          <w:sz w:val="28"/>
          <w:szCs w:val="28"/>
        </w:rPr>
        <w:t>彩铃事业部提出音视频融合的广告彩铃业务拓展意向。为适应音视频融合时代广告彩铃的业务发展需要，进一步借助合作伙伴力量拓展广告彩铃用户，提升音视频融合的广告彩铃产品的影响力，促进收入的快速增长，5</w:t>
      </w:r>
      <w:r>
        <w:rPr>
          <w:rFonts w:ascii="仿宋" w:hAnsi="仿宋" w:eastAsia="仿宋"/>
          <w:sz w:val="28"/>
          <w:szCs w:val="28"/>
        </w:rPr>
        <w:t>G</w:t>
      </w:r>
      <w:r>
        <w:rPr>
          <w:rFonts w:hint="eastAsia" w:ascii="仿宋" w:hAnsi="仿宋" w:eastAsia="仿宋"/>
          <w:sz w:val="28"/>
          <w:szCs w:val="28"/>
        </w:rPr>
        <w:t>彩铃事业部近期计划开展2</w:t>
      </w:r>
      <w:r>
        <w:rPr>
          <w:rFonts w:ascii="仿宋" w:hAnsi="仿宋" w:eastAsia="仿宋"/>
          <w:sz w:val="28"/>
          <w:szCs w:val="28"/>
        </w:rPr>
        <w:t>02</w:t>
      </w:r>
      <w:r>
        <w:rPr>
          <w:rFonts w:hint="eastAsia" w:ascii="仿宋" w:hAnsi="仿宋" w:eastAsia="仿宋"/>
          <w:sz w:val="28"/>
          <w:szCs w:val="28"/>
          <w:lang w:val="en-US" w:eastAsia="zh-CN"/>
        </w:rPr>
        <w:t>3</w:t>
      </w:r>
      <w:r>
        <w:rPr>
          <w:rFonts w:ascii="仿宋" w:hAnsi="仿宋" w:eastAsia="仿宋"/>
          <w:sz w:val="28"/>
          <w:szCs w:val="28"/>
        </w:rPr>
        <w:t>年第</w:t>
      </w:r>
      <w:r>
        <w:rPr>
          <w:rFonts w:hint="eastAsia" w:ascii="仿宋" w:hAnsi="仿宋" w:eastAsia="仿宋"/>
          <w:sz w:val="28"/>
          <w:szCs w:val="28"/>
          <w:lang w:val="en-US" w:eastAsia="zh-CN"/>
        </w:rPr>
        <w:t>一</w:t>
      </w:r>
      <w:r>
        <w:rPr>
          <w:rFonts w:ascii="仿宋" w:hAnsi="仿宋" w:eastAsia="仿宋"/>
          <w:sz w:val="28"/>
          <w:szCs w:val="28"/>
        </w:rPr>
        <w:t>次</w:t>
      </w:r>
      <w:r>
        <w:rPr>
          <w:rFonts w:hint="eastAsia" w:ascii="仿宋" w:hAnsi="仿宋" w:eastAsia="仿宋"/>
          <w:sz w:val="28"/>
          <w:szCs w:val="28"/>
        </w:rPr>
        <w:t>广告彩铃媒体方合作伙伴的引入工作。现将相关事宜告知如下：</w:t>
      </w:r>
    </w:p>
    <w:p>
      <w:pPr>
        <w:rPr>
          <w:rFonts w:ascii="仿宋" w:hAnsi="仿宋" w:eastAsia="仿宋"/>
          <w:b/>
          <w:sz w:val="28"/>
          <w:szCs w:val="28"/>
        </w:rPr>
      </w:pPr>
      <w:r>
        <w:rPr>
          <w:rFonts w:ascii="仿宋" w:hAnsi="仿宋" w:eastAsia="仿宋"/>
          <w:b/>
          <w:sz w:val="28"/>
          <w:szCs w:val="28"/>
        </w:rPr>
        <w:t>一</w:t>
      </w:r>
      <w:r>
        <w:rPr>
          <w:rFonts w:hint="eastAsia" w:ascii="仿宋" w:hAnsi="仿宋" w:eastAsia="仿宋"/>
          <w:b/>
          <w:sz w:val="28"/>
          <w:szCs w:val="28"/>
        </w:rPr>
        <w:t>、</w:t>
      </w:r>
      <w:r>
        <w:rPr>
          <w:rFonts w:ascii="仿宋" w:hAnsi="仿宋" w:eastAsia="仿宋"/>
          <w:b/>
          <w:sz w:val="28"/>
          <w:szCs w:val="28"/>
        </w:rPr>
        <w:t>引入方式</w:t>
      </w:r>
    </w:p>
    <w:p>
      <w:pPr>
        <w:ind w:firstLine="560" w:firstLineChars="200"/>
        <w:rPr>
          <w:rFonts w:ascii="仿宋" w:hAnsi="仿宋" w:eastAsia="仿宋" w:cs="Arial"/>
          <w:sz w:val="28"/>
        </w:rPr>
      </w:pPr>
      <w:r>
        <w:rPr>
          <w:rFonts w:hint="eastAsia" w:ascii="仿宋" w:hAnsi="仿宋" w:eastAsia="仿宋" w:cs="Arial"/>
          <w:sz w:val="28"/>
        </w:rPr>
        <w:t>公开引入，符合要求的合作伙伴均可报名。</w:t>
      </w:r>
    </w:p>
    <w:p>
      <w:pPr>
        <w:ind w:firstLine="560" w:firstLineChars="200"/>
        <w:rPr>
          <w:rFonts w:ascii="仿宋" w:hAnsi="仿宋" w:eastAsia="仿宋" w:cs="Arial"/>
          <w:sz w:val="28"/>
        </w:rPr>
      </w:pPr>
      <w:r>
        <w:rPr>
          <w:rFonts w:hint="eastAsia" w:ascii="仿宋" w:hAnsi="仿宋" w:eastAsia="仿宋" w:cs="Arial"/>
          <w:sz w:val="28"/>
        </w:rPr>
        <w:t>评审阶段由现场评审人员打分或审核（评估标准见附件二），平均得分85分及以上的合作伙伴全部引入；平均得分60分以下的合作伙伴，一年内不得再次参与广告彩铃媒体方引入合作。评审审核符合全部引入要求的合作伙伴全部引入，否则不引入。</w:t>
      </w:r>
    </w:p>
    <w:p>
      <w:pPr>
        <w:rPr>
          <w:rFonts w:ascii="仿宋" w:hAnsi="仿宋" w:eastAsia="仿宋"/>
          <w:b/>
          <w:sz w:val="28"/>
          <w:szCs w:val="28"/>
        </w:rPr>
      </w:pPr>
      <w:r>
        <w:rPr>
          <w:rFonts w:hint="eastAsia" w:ascii="仿宋" w:hAnsi="仿宋" w:eastAsia="仿宋"/>
          <w:b/>
          <w:sz w:val="28"/>
          <w:szCs w:val="28"/>
        </w:rPr>
        <w:t>二、引入要求</w:t>
      </w:r>
    </w:p>
    <w:p>
      <w:pPr>
        <w:rPr>
          <w:rFonts w:ascii="仿宋" w:hAnsi="仿宋" w:eastAsia="仿宋"/>
          <w:sz w:val="28"/>
          <w:szCs w:val="28"/>
        </w:rPr>
      </w:pPr>
      <w:r>
        <w:rPr>
          <w:rFonts w:hint="eastAsia" w:ascii="仿宋" w:hAnsi="仿宋" w:eastAsia="仿宋"/>
          <w:sz w:val="28"/>
          <w:szCs w:val="28"/>
        </w:rPr>
        <w:t>广告彩铃媒体方合作伙伴需满足以下资质要求：</w:t>
      </w:r>
    </w:p>
    <w:p>
      <w:pPr>
        <w:pStyle w:val="17"/>
        <w:numPr>
          <w:ilvl w:val="0"/>
          <w:numId w:val="1"/>
        </w:numPr>
        <w:ind w:firstLineChars="0"/>
        <w:rPr>
          <w:rFonts w:ascii="仿宋" w:hAnsi="仿宋" w:eastAsia="仿宋"/>
          <w:sz w:val="28"/>
          <w:szCs w:val="28"/>
        </w:rPr>
      </w:pPr>
      <w:r>
        <w:rPr>
          <w:rFonts w:hint="eastAsia" w:ascii="仿宋" w:hAnsi="仿宋" w:eastAsia="仿宋"/>
          <w:sz w:val="28"/>
          <w:szCs w:val="28"/>
        </w:rPr>
        <w:t>具有独立法人资格的有限责任公司或股份有限公司，或具有法人资格的事业单位；</w:t>
      </w:r>
    </w:p>
    <w:p>
      <w:pPr>
        <w:pStyle w:val="17"/>
        <w:numPr>
          <w:ilvl w:val="0"/>
          <w:numId w:val="1"/>
        </w:numPr>
        <w:ind w:firstLineChars="0"/>
        <w:rPr>
          <w:rFonts w:ascii="仿宋" w:hAnsi="仿宋" w:eastAsia="仿宋"/>
          <w:sz w:val="28"/>
          <w:szCs w:val="28"/>
        </w:rPr>
      </w:pPr>
      <w:r>
        <w:rPr>
          <w:rFonts w:hint="eastAsia" w:ascii="仿宋" w:hAnsi="仿宋" w:eastAsia="仿宋"/>
          <w:sz w:val="28"/>
          <w:szCs w:val="28"/>
        </w:rPr>
        <w:t>企业经营三年内，无违法犯罪记录，财务状况良好，信誉良好，未列入咪咕文化科技有限公司合作伙伴不良信用名单，与咪咕音乐有限公司其它项目合作过程中未有过重大处罚的记录，未被“国家企业信用信息公示系统（http://www.gsxt.gov.cn/）”列入“经营异常名录”和“严重违法失信企业名单”；</w:t>
      </w:r>
    </w:p>
    <w:p>
      <w:pPr>
        <w:pStyle w:val="17"/>
        <w:numPr>
          <w:ilvl w:val="0"/>
          <w:numId w:val="1"/>
        </w:numPr>
        <w:ind w:firstLineChars="0"/>
        <w:rPr>
          <w:rFonts w:ascii="仿宋" w:hAnsi="仿宋" w:eastAsia="仿宋"/>
          <w:sz w:val="28"/>
          <w:szCs w:val="28"/>
        </w:rPr>
      </w:pPr>
      <w:r>
        <w:rPr>
          <w:rFonts w:hint="eastAsia" w:ascii="仿宋" w:hAnsi="仿宋" w:eastAsia="仿宋"/>
          <w:sz w:val="28"/>
          <w:szCs w:val="28"/>
        </w:rPr>
        <w:t>其他资质要求</w:t>
      </w:r>
    </w:p>
    <w:p>
      <w:pPr>
        <w:rPr>
          <w:rFonts w:ascii="仿宋" w:hAnsi="仿宋" w:eastAsia="仿宋"/>
          <w:sz w:val="28"/>
          <w:szCs w:val="28"/>
        </w:rPr>
      </w:pPr>
      <w:r>
        <w:rPr>
          <w:rFonts w:hint="eastAsia" w:ascii="仿宋" w:hAnsi="仿宋" w:eastAsia="仿宋"/>
          <w:sz w:val="28"/>
          <w:szCs w:val="28"/>
        </w:rPr>
        <w:t>（1）传统媒体方</w:t>
      </w:r>
    </w:p>
    <w:p>
      <w:pPr>
        <w:rPr>
          <w:rFonts w:ascii="仿宋" w:hAnsi="仿宋" w:eastAsia="仿宋"/>
          <w:sz w:val="28"/>
          <w:szCs w:val="28"/>
        </w:rPr>
      </w:pPr>
      <w:r>
        <w:rPr>
          <w:rFonts w:hint="eastAsia" w:ascii="仿宋" w:hAnsi="仿宋" w:eastAsia="仿宋"/>
          <w:sz w:val="28"/>
          <w:szCs w:val="28"/>
        </w:rPr>
        <w:t>申请方需获得用户拓展地省公司二级部门或地市公司的广告彩铃媒体方用户拓展推荐函，格式参考《附件一、省公司二级部门或市公司推荐函模板》。</w:t>
      </w:r>
    </w:p>
    <w:p>
      <w:pPr>
        <w:rPr>
          <w:rFonts w:ascii="仿宋" w:hAnsi="仿宋" w:eastAsia="仿宋"/>
          <w:sz w:val="28"/>
          <w:szCs w:val="28"/>
        </w:rPr>
      </w:pPr>
      <w:r>
        <w:rPr>
          <w:rFonts w:hint="eastAsia" w:ascii="仿宋" w:hAnsi="仿宋" w:eastAsia="仿宋"/>
          <w:sz w:val="28"/>
          <w:szCs w:val="28"/>
        </w:rPr>
        <w:t>（2）行业媒体方</w:t>
      </w:r>
    </w:p>
    <w:p>
      <w:pPr>
        <w:rPr>
          <w:rFonts w:ascii="仿宋" w:hAnsi="仿宋" w:eastAsia="仿宋"/>
          <w:sz w:val="28"/>
          <w:szCs w:val="28"/>
        </w:rPr>
      </w:pPr>
      <w:r>
        <w:rPr>
          <w:rFonts w:hint="eastAsia" w:ascii="仿宋" w:hAnsi="仿宋" w:eastAsia="仿宋"/>
          <w:sz w:val="28"/>
          <w:szCs w:val="28"/>
        </w:rPr>
        <w:t>申请方须为知名企业或知名企业授权合作方，知名企业包含线下型和线上型。</w:t>
      </w:r>
    </w:p>
    <w:p>
      <w:pPr>
        <w:rPr>
          <w:rFonts w:ascii="仿宋" w:hAnsi="仿宋" w:eastAsia="仿宋"/>
          <w:sz w:val="28"/>
          <w:szCs w:val="28"/>
        </w:rPr>
      </w:pPr>
      <w:r>
        <w:rPr>
          <w:rFonts w:hint="eastAsia" w:ascii="仿宋" w:hAnsi="仿宋" w:eastAsia="仿宋"/>
          <w:sz w:val="28"/>
          <w:szCs w:val="28"/>
        </w:rPr>
        <w:t>其中，线下型知名企业需满足以下条件之一：</w:t>
      </w:r>
    </w:p>
    <w:p>
      <w:pPr>
        <w:rPr>
          <w:rFonts w:ascii="仿宋" w:hAnsi="仿宋" w:eastAsia="仿宋"/>
          <w:sz w:val="28"/>
          <w:szCs w:val="28"/>
        </w:rPr>
      </w:pPr>
      <w:r>
        <w:rPr>
          <w:rFonts w:hint="eastAsia" w:ascii="仿宋" w:hAnsi="仿宋" w:eastAsia="仿宋"/>
          <w:sz w:val="28"/>
          <w:szCs w:val="28"/>
        </w:rPr>
        <w:t>（i）</w:t>
      </w:r>
      <w:r>
        <w:rPr>
          <w:rFonts w:ascii="仿宋" w:hAnsi="仿宋" w:eastAsia="仿宋"/>
          <w:sz w:val="28"/>
          <w:szCs w:val="28"/>
        </w:rPr>
        <w:t>5</w:t>
      </w:r>
      <w:r>
        <w:rPr>
          <w:rFonts w:hint="eastAsia" w:ascii="仿宋" w:hAnsi="仿宋" w:eastAsia="仿宋"/>
          <w:sz w:val="28"/>
          <w:szCs w:val="28"/>
        </w:rPr>
        <w:t>年内曾入选《财富》世界</w:t>
      </w:r>
      <w:r>
        <w:rPr>
          <w:rFonts w:ascii="仿宋" w:hAnsi="仿宋" w:eastAsia="仿宋"/>
          <w:sz w:val="28"/>
          <w:szCs w:val="28"/>
        </w:rPr>
        <w:t>500</w:t>
      </w:r>
      <w:r>
        <w:rPr>
          <w:rFonts w:hint="eastAsia" w:ascii="仿宋" w:hAnsi="仿宋" w:eastAsia="仿宋"/>
          <w:sz w:val="28"/>
          <w:szCs w:val="28"/>
        </w:rPr>
        <w:t>强</w:t>
      </w:r>
      <w:r>
        <w:rPr>
          <w:rFonts w:ascii="仿宋" w:hAnsi="仿宋" w:eastAsia="仿宋"/>
          <w:sz w:val="28"/>
          <w:szCs w:val="28"/>
        </w:rPr>
        <w:t>1</w:t>
      </w:r>
      <w:r>
        <w:rPr>
          <w:rFonts w:hint="eastAsia" w:ascii="仿宋" w:hAnsi="仿宋" w:eastAsia="仿宋"/>
          <w:sz w:val="28"/>
          <w:szCs w:val="28"/>
        </w:rPr>
        <w:t>年及以上</w:t>
      </w:r>
    </w:p>
    <w:p>
      <w:pPr>
        <w:rPr>
          <w:rFonts w:ascii="仿宋" w:hAnsi="仿宋" w:eastAsia="仿宋"/>
          <w:sz w:val="28"/>
          <w:szCs w:val="28"/>
        </w:rPr>
      </w:pPr>
      <w:r>
        <w:rPr>
          <w:rFonts w:hint="eastAsia" w:ascii="仿宋" w:hAnsi="仿宋" w:eastAsia="仿宋"/>
          <w:sz w:val="28"/>
          <w:szCs w:val="28"/>
        </w:rPr>
        <w:t>（ii）</w:t>
      </w:r>
      <w:r>
        <w:rPr>
          <w:rFonts w:ascii="仿宋" w:hAnsi="仿宋" w:eastAsia="仿宋"/>
          <w:sz w:val="28"/>
          <w:szCs w:val="28"/>
        </w:rPr>
        <w:t>5</w:t>
      </w:r>
      <w:r>
        <w:rPr>
          <w:rFonts w:hint="eastAsia" w:ascii="仿宋" w:hAnsi="仿宋" w:eastAsia="仿宋"/>
          <w:sz w:val="28"/>
          <w:szCs w:val="28"/>
        </w:rPr>
        <w:t>年内曾入选《财富中文网》中国企业</w:t>
      </w:r>
      <w:r>
        <w:rPr>
          <w:rFonts w:ascii="仿宋" w:hAnsi="仿宋" w:eastAsia="仿宋"/>
          <w:sz w:val="28"/>
          <w:szCs w:val="28"/>
        </w:rPr>
        <w:t>500</w:t>
      </w:r>
      <w:r>
        <w:rPr>
          <w:rFonts w:hint="eastAsia" w:ascii="仿宋" w:hAnsi="仿宋" w:eastAsia="仿宋"/>
          <w:sz w:val="28"/>
          <w:szCs w:val="28"/>
        </w:rPr>
        <w:t>强</w:t>
      </w:r>
      <w:r>
        <w:rPr>
          <w:rFonts w:ascii="仿宋" w:hAnsi="仿宋" w:eastAsia="仿宋"/>
          <w:sz w:val="28"/>
          <w:szCs w:val="28"/>
        </w:rPr>
        <w:t>2</w:t>
      </w:r>
      <w:r>
        <w:rPr>
          <w:rFonts w:hint="eastAsia" w:ascii="仿宋" w:hAnsi="仿宋" w:eastAsia="仿宋"/>
          <w:sz w:val="28"/>
          <w:szCs w:val="28"/>
        </w:rPr>
        <w:t>年及以上；</w:t>
      </w:r>
    </w:p>
    <w:p>
      <w:pPr>
        <w:rPr>
          <w:rFonts w:ascii="仿宋" w:hAnsi="仿宋" w:eastAsia="仿宋"/>
          <w:sz w:val="28"/>
          <w:szCs w:val="28"/>
        </w:rPr>
      </w:pPr>
      <w:r>
        <w:rPr>
          <w:rFonts w:hint="eastAsia" w:ascii="仿宋" w:hAnsi="仿宋" w:eastAsia="仿宋"/>
          <w:sz w:val="28"/>
          <w:szCs w:val="28"/>
        </w:rPr>
        <w:t>（iii</w:t>
      </w:r>
      <w:r>
        <w:rPr>
          <w:rFonts w:ascii="仿宋" w:hAnsi="仿宋" w:eastAsia="仿宋"/>
          <w:sz w:val="28"/>
          <w:szCs w:val="28"/>
        </w:rPr>
        <w:t>）</w:t>
      </w:r>
      <w:r>
        <w:rPr>
          <w:rFonts w:hint="eastAsia" w:ascii="仿宋" w:hAnsi="仿宋" w:eastAsia="仿宋"/>
          <w:sz w:val="28"/>
          <w:szCs w:val="28"/>
        </w:rPr>
        <w:t>全国营业网点（自营、他营、指定经营等形式）数量超过</w:t>
      </w:r>
      <w:r>
        <w:rPr>
          <w:rFonts w:ascii="仿宋" w:hAnsi="仿宋" w:eastAsia="仿宋"/>
          <w:sz w:val="28"/>
          <w:szCs w:val="28"/>
        </w:rPr>
        <w:t>1</w:t>
      </w:r>
      <w:r>
        <w:rPr>
          <w:rFonts w:hint="eastAsia" w:ascii="仿宋" w:hAnsi="仿宋" w:eastAsia="仿宋"/>
          <w:sz w:val="28"/>
          <w:szCs w:val="28"/>
        </w:rPr>
        <w:t>万个；</w:t>
      </w:r>
    </w:p>
    <w:p>
      <w:pPr>
        <w:rPr>
          <w:rFonts w:ascii="仿宋" w:hAnsi="仿宋" w:eastAsia="仿宋"/>
          <w:sz w:val="28"/>
          <w:szCs w:val="28"/>
        </w:rPr>
      </w:pPr>
      <w:r>
        <w:rPr>
          <w:rFonts w:hint="eastAsia" w:ascii="仿宋" w:hAnsi="仿宋" w:eastAsia="仿宋"/>
          <w:sz w:val="28"/>
          <w:szCs w:val="28"/>
        </w:rPr>
        <w:t>线上型知名企业需满足以下条件之一：</w:t>
      </w:r>
    </w:p>
    <w:p>
      <w:pPr>
        <w:rPr>
          <w:rFonts w:ascii="仿宋" w:hAnsi="仿宋" w:eastAsia="仿宋"/>
          <w:sz w:val="28"/>
          <w:szCs w:val="28"/>
        </w:rPr>
      </w:pPr>
      <w:r>
        <w:rPr>
          <w:rFonts w:hint="eastAsia" w:ascii="仿宋" w:hAnsi="仿宋" w:eastAsia="仿宋"/>
          <w:sz w:val="28"/>
          <w:szCs w:val="28"/>
        </w:rPr>
        <w:t>（i</w:t>
      </w:r>
      <w:r>
        <w:rPr>
          <w:rFonts w:ascii="仿宋" w:hAnsi="仿宋" w:eastAsia="仿宋"/>
          <w:sz w:val="28"/>
          <w:szCs w:val="28"/>
        </w:rPr>
        <w:t>）</w:t>
      </w:r>
      <w:r>
        <w:rPr>
          <w:rFonts w:hint="eastAsia" w:ascii="仿宋" w:hAnsi="仿宋" w:eastAsia="仿宋"/>
          <w:sz w:val="28"/>
          <w:szCs w:val="28"/>
        </w:rPr>
        <w:t>通过易观或艾瑞查询</w:t>
      </w:r>
      <w:r>
        <w:rPr>
          <w:rFonts w:ascii="仿宋" w:hAnsi="仿宋" w:eastAsia="仿宋"/>
          <w:sz w:val="28"/>
          <w:szCs w:val="28"/>
        </w:rPr>
        <w:t>APP</w:t>
      </w:r>
      <w:r>
        <w:rPr>
          <w:rFonts w:hint="eastAsia" w:ascii="仿宋" w:hAnsi="仿宋" w:eastAsia="仿宋"/>
          <w:sz w:val="28"/>
          <w:szCs w:val="28"/>
        </w:rPr>
        <w:t>月活跃人数不低于</w:t>
      </w:r>
      <w:r>
        <w:rPr>
          <w:rFonts w:ascii="仿宋" w:hAnsi="仿宋" w:eastAsia="仿宋"/>
          <w:sz w:val="28"/>
          <w:szCs w:val="28"/>
        </w:rPr>
        <w:t>500</w:t>
      </w:r>
      <w:r>
        <w:rPr>
          <w:rFonts w:hint="eastAsia" w:ascii="仿宋" w:hAnsi="仿宋" w:eastAsia="仿宋"/>
          <w:sz w:val="28"/>
          <w:szCs w:val="28"/>
        </w:rPr>
        <w:t>万；</w:t>
      </w:r>
    </w:p>
    <w:p>
      <w:pPr>
        <w:rPr>
          <w:rFonts w:ascii="仿宋" w:hAnsi="仿宋" w:eastAsia="仿宋"/>
          <w:sz w:val="28"/>
          <w:szCs w:val="28"/>
        </w:rPr>
      </w:pPr>
      <w:r>
        <w:rPr>
          <w:rFonts w:hint="eastAsia" w:ascii="仿宋" w:hAnsi="仿宋" w:eastAsia="仿宋"/>
          <w:sz w:val="28"/>
          <w:szCs w:val="28"/>
        </w:rPr>
        <w:t>（ii）通过易观或艾瑞查询</w:t>
      </w:r>
      <w:r>
        <w:rPr>
          <w:rFonts w:ascii="仿宋" w:hAnsi="仿宋" w:eastAsia="仿宋"/>
          <w:sz w:val="28"/>
          <w:szCs w:val="28"/>
        </w:rPr>
        <w:t>APP</w:t>
      </w:r>
      <w:r>
        <w:rPr>
          <w:rFonts w:hint="eastAsia" w:ascii="仿宋" w:hAnsi="仿宋" w:eastAsia="仿宋"/>
          <w:sz w:val="28"/>
          <w:szCs w:val="28"/>
        </w:rPr>
        <w:t>细分行业排名前五；</w:t>
      </w:r>
    </w:p>
    <w:p>
      <w:pPr>
        <w:rPr>
          <w:rFonts w:ascii="仿宋" w:hAnsi="仿宋" w:eastAsia="仿宋"/>
          <w:sz w:val="28"/>
          <w:szCs w:val="28"/>
        </w:rPr>
      </w:pPr>
      <w:r>
        <w:rPr>
          <w:rFonts w:hint="eastAsia" w:ascii="仿宋" w:hAnsi="仿宋" w:eastAsia="仿宋"/>
          <w:sz w:val="28"/>
          <w:szCs w:val="28"/>
        </w:rPr>
        <w:t>申请方为知名企业授权合作方的，须出具知名企业的授权函或合作协议，授权函与合作协议中应明确体现视频彩铃媒体业务合作。</w:t>
      </w:r>
    </w:p>
    <w:p>
      <w:pPr>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3</w:t>
      </w:r>
      <w:r>
        <w:rPr>
          <w:rFonts w:hint="eastAsia" w:ascii="仿宋" w:hAnsi="仿宋" w:eastAsia="仿宋"/>
          <w:sz w:val="28"/>
          <w:szCs w:val="28"/>
        </w:rPr>
        <w:t>）专属媒体方</w:t>
      </w:r>
    </w:p>
    <w:p>
      <w:pPr>
        <w:rPr>
          <w:rFonts w:ascii="仿宋" w:hAnsi="仿宋" w:eastAsia="仿宋"/>
          <w:sz w:val="28"/>
          <w:szCs w:val="28"/>
        </w:rPr>
      </w:pPr>
      <w:r>
        <w:rPr>
          <w:rFonts w:hint="eastAsia" w:ascii="仿宋" w:hAnsi="仿宋" w:eastAsia="仿宋"/>
          <w:sz w:val="28"/>
          <w:szCs w:val="28"/>
        </w:rPr>
        <w:t>申请方必须是CP专属铃音盒合作伙伴、视频彩铃订阅服务合作伙伴或渠道包月产品合作伙伴，且过往12个月内无重大违规记录。</w:t>
      </w:r>
    </w:p>
    <w:p>
      <w:pPr>
        <w:rPr>
          <w:rFonts w:ascii="仿宋" w:hAnsi="仿宋" w:eastAsia="仿宋"/>
          <w:sz w:val="28"/>
          <w:szCs w:val="28"/>
        </w:rPr>
      </w:pPr>
      <w:r>
        <w:rPr>
          <w:rFonts w:hint="eastAsia" w:ascii="仿宋" w:hAnsi="仿宋" w:eastAsia="仿宋"/>
          <w:sz w:val="28"/>
          <w:szCs w:val="28"/>
        </w:rPr>
        <w:t>为规范合作秩序，媒体方合作伙伴需缴纳履约保证金。</w:t>
      </w:r>
    </w:p>
    <w:p>
      <w:pPr>
        <w:pStyle w:val="17"/>
        <w:numPr>
          <w:ilvl w:val="0"/>
          <w:numId w:val="2"/>
        </w:numPr>
        <w:ind w:firstLineChars="0"/>
        <w:rPr>
          <w:rFonts w:ascii="仿宋" w:hAnsi="仿宋" w:eastAsia="仿宋"/>
          <w:sz w:val="28"/>
          <w:szCs w:val="28"/>
        </w:rPr>
      </w:pPr>
      <w:r>
        <w:rPr>
          <w:rFonts w:hint="eastAsia" w:ascii="仿宋" w:hAnsi="仿宋" w:eastAsia="仿宋"/>
          <w:sz w:val="28"/>
          <w:szCs w:val="28"/>
        </w:rPr>
        <w:t>传统媒体方合作伙伴需缴纳2万元/省履约保证金，申请多个省合作的，最高缴纳10万元的保证金。</w:t>
      </w:r>
    </w:p>
    <w:p>
      <w:pPr>
        <w:pStyle w:val="17"/>
        <w:numPr>
          <w:ilvl w:val="0"/>
          <w:numId w:val="2"/>
        </w:numPr>
        <w:ind w:firstLineChars="0"/>
        <w:rPr>
          <w:rFonts w:ascii="仿宋" w:hAnsi="仿宋" w:eastAsia="仿宋"/>
          <w:sz w:val="28"/>
          <w:szCs w:val="28"/>
        </w:rPr>
      </w:pPr>
      <w:r>
        <w:rPr>
          <w:rFonts w:hint="eastAsia" w:ascii="仿宋" w:hAnsi="仿宋" w:eastAsia="仿宋"/>
          <w:sz w:val="28"/>
          <w:szCs w:val="28"/>
        </w:rPr>
        <w:t>行业媒体方合作伙伴需缴纳10万元履约保证金。</w:t>
      </w:r>
    </w:p>
    <w:p>
      <w:pPr>
        <w:pStyle w:val="17"/>
        <w:numPr>
          <w:ilvl w:val="0"/>
          <w:numId w:val="2"/>
        </w:numPr>
        <w:ind w:firstLineChars="0"/>
        <w:rPr>
          <w:rFonts w:ascii="仿宋" w:hAnsi="仿宋" w:eastAsia="仿宋"/>
          <w:sz w:val="28"/>
          <w:szCs w:val="28"/>
        </w:rPr>
      </w:pPr>
      <w:r>
        <w:rPr>
          <w:rFonts w:hint="eastAsia" w:ascii="仿宋" w:hAnsi="仿宋" w:eastAsia="仿宋"/>
          <w:sz w:val="28"/>
          <w:szCs w:val="28"/>
        </w:rPr>
        <w:t>CP类专属媒体方合作伙伴需预缴广告投放费用不低于</w:t>
      </w:r>
      <w:r>
        <w:rPr>
          <w:rFonts w:ascii="仿宋" w:hAnsi="仿宋" w:eastAsia="仿宋"/>
          <w:sz w:val="28"/>
          <w:szCs w:val="28"/>
        </w:rPr>
        <w:t>50</w:t>
      </w:r>
      <w:r>
        <w:rPr>
          <w:rFonts w:hint="eastAsia" w:ascii="仿宋" w:hAnsi="仿宋" w:eastAsia="仿宋"/>
          <w:sz w:val="28"/>
          <w:szCs w:val="28"/>
        </w:rPr>
        <w:t>万元，渠道类专属媒体方合作伙伴需预缴广告投放费用不低于</w:t>
      </w:r>
      <w:r>
        <w:rPr>
          <w:rFonts w:ascii="仿宋" w:hAnsi="仿宋" w:eastAsia="仿宋"/>
          <w:sz w:val="28"/>
          <w:szCs w:val="28"/>
        </w:rPr>
        <w:t>10</w:t>
      </w:r>
      <w:r>
        <w:rPr>
          <w:rFonts w:hint="eastAsia" w:ascii="仿宋" w:hAnsi="仿宋" w:eastAsia="仿宋"/>
          <w:sz w:val="28"/>
          <w:szCs w:val="28"/>
        </w:rPr>
        <w:t>万元，预缴的广告投放费用将用于实际广告投放，任何情况均不退还；如预缴值需要调整，通过签报由分管VP审批后执行。</w:t>
      </w:r>
    </w:p>
    <w:p>
      <w:pPr>
        <w:rPr>
          <w:rFonts w:ascii="仿宋" w:hAnsi="仿宋" w:eastAsia="仿宋"/>
          <w:b/>
          <w:sz w:val="28"/>
          <w:szCs w:val="28"/>
        </w:rPr>
      </w:pPr>
      <w:r>
        <w:rPr>
          <w:rFonts w:hint="eastAsia" w:ascii="仿宋" w:hAnsi="仿宋" w:eastAsia="仿宋"/>
          <w:b/>
          <w:sz w:val="28"/>
          <w:szCs w:val="28"/>
        </w:rPr>
        <w:t>三、引入流程</w:t>
      </w:r>
    </w:p>
    <w:p>
      <w:pPr>
        <w:rPr>
          <w:rFonts w:ascii="仿宋" w:hAnsi="仿宋" w:eastAsia="仿宋"/>
          <w:sz w:val="28"/>
          <w:szCs w:val="28"/>
        </w:rPr>
      </w:pPr>
      <w:r>
        <w:rPr>
          <w:rFonts w:hint="eastAsia" w:ascii="仿宋" w:hAnsi="仿宋" w:eastAsia="仿宋"/>
          <w:sz w:val="28"/>
          <w:szCs w:val="28"/>
        </w:rPr>
        <w:t>广告彩铃媒体方合作伙伴引入分为受理、评估、决策、签约、业务上线五个环节。</w:t>
      </w:r>
    </w:p>
    <w:p>
      <w:pPr>
        <w:rPr>
          <w:rFonts w:ascii="仿宋" w:hAnsi="仿宋" w:eastAsia="仿宋"/>
          <w:sz w:val="28"/>
          <w:szCs w:val="28"/>
        </w:rPr>
      </w:pPr>
      <w:r>
        <w:rPr>
          <w:rFonts w:hint="eastAsia" w:ascii="仿宋" w:hAnsi="仿宋" w:eastAsia="仿宋"/>
          <w:sz w:val="28"/>
          <w:szCs w:val="28"/>
        </w:rPr>
        <w:t>（1）受理：</w:t>
      </w:r>
    </w:p>
    <w:p>
      <w:pPr>
        <w:rPr>
          <w:rFonts w:ascii="仿宋" w:hAnsi="仿宋" w:eastAsia="仿宋"/>
          <w:sz w:val="28"/>
          <w:szCs w:val="28"/>
        </w:rPr>
      </w:pPr>
      <w:r>
        <w:rPr>
          <w:rFonts w:hint="eastAsia" w:ascii="仿宋" w:hAnsi="仿宋" w:eastAsia="仿宋"/>
          <w:sz w:val="28"/>
          <w:szCs w:val="28"/>
        </w:rPr>
        <w:t xml:space="preserve">合作伙伴根据引入公告提交合作申请，业务管理部门进行公司资质、合作申请审核，详细审核要求参见《附件二、广告彩铃媒体方合作伙伴引入标准》，原则上 </w:t>
      </w:r>
      <w:r>
        <w:rPr>
          <w:rFonts w:ascii="仿宋" w:hAnsi="仿宋" w:eastAsia="仿宋"/>
          <w:sz w:val="28"/>
          <w:szCs w:val="28"/>
        </w:rPr>
        <w:t>5</w:t>
      </w:r>
      <w:r>
        <w:rPr>
          <w:rFonts w:hint="eastAsia" w:ascii="仿宋" w:hAnsi="仿宋" w:eastAsia="仿宋"/>
          <w:sz w:val="28"/>
          <w:szCs w:val="28"/>
        </w:rPr>
        <w:t xml:space="preserve"> 个工作日内反馈审核结果，审核通过后，进入引入评估流程。对列入咪咕文化科技有限公司合作伙伴不良信用名单的接入申请，不予受理；</w:t>
      </w:r>
    </w:p>
    <w:p>
      <w:pPr>
        <w:rPr>
          <w:rFonts w:ascii="仿宋" w:hAnsi="仿宋" w:eastAsia="仿宋"/>
          <w:sz w:val="28"/>
          <w:szCs w:val="28"/>
        </w:rPr>
      </w:pPr>
      <w:r>
        <w:rPr>
          <w:rFonts w:hint="eastAsia" w:ascii="仿宋" w:hAnsi="仿宋" w:eastAsia="仿宋"/>
          <w:sz w:val="28"/>
          <w:szCs w:val="28"/>
        </w:rPr>
        <w:t>（2）评估：</w:t>
      </w:r>
    </w:p>
    <w:p>
      <w:pPr>
        <w:rPr>
          <w:rFonts w:ascii="仿宋" w:hAnsi="仿宋" w:eastAsia="仿宋"/>
          <w:sz w:val="28"/>
          <w:szCs w:val="28"/>
        </w:rPr>
      </w:pPr>
      <w:r>
        <w:rPr>
          <w:rFonts w:hint="eastAsia" w:ascii="仿宋" w:hAnsi="仿宋" w:eastAsia="仿宋"/>
          <w:sz w:val="28"/>
          <w:szCs w:val="28"/>
        </w:rPr>
        <w:t>业务管理部门指定2名评委、再从采购专家库随机抽取5名评委，共计7名评委进行现场评审打分；</w:t>
      </w:r>
    </w:p>
    <w:p>
      <w:pPr>
        <w:rPr>
          <w:rFonts w:ascii="仿宋" w:hAnsi="仿宋" w:eastAsia="仿宋"/>
          <w:sz w:val="28"/>
          <w:szCs w:val="28"/>
        </w:rPr>
      </w:pPr>
      <w:r>
        <w:rPr>
          <w:rFonts w:hint="eastAsia" w:ascii="仿宋" w:hAnsi="仿宋" w:eastAsia="仿宋"/>
          <w:sz w:val="28"/>
          <w:szCs w:val="28"/>
        </w:rPr>
        <w:t>（3）决策：</w:t>
      </w:r>
    </w:p>
    <w:p>
      <w:pPr>
        <w:rPr>
          <w:rFonts w:ascii="仿宋" w:hAnsi="仿宋" w:eastAsia="仿宋"/>
          <w:sz w:val="28"/>
          <w:szCs w:val="28"/>
        </w:rPr>
      </w:pPr>
      <w:r>
        <w:rPr>
          <w:rFonts w:hint="eastAsia" w:ascii="仿宋" w:hAnsi="仿宋" w:eastAsia="仿宋"/>
          <w:sz w:val="28"/>
          <w:szCs w:val="28"/>
        </w:rPr>
        <w:t>评审结果提交咪咕音乐有限公司总经理办公会进行决策；</w:t>
      </w:r>
    </w:p>
    <w:p>
      <w:pPr>
        <w:rPr>
          <w:rFonts w:ascii="仿宋" w:hAnsi="仿宋" w:eastAsia="仿宋"/>
          <w:sz w:val="28"/>
          <w:szCs w:val="28"/>
        </w:rPr>
      </w:pPr>
      <w:r>
        <w:rPr>
          <w:rFonts w:hint="eastAsia" w:ascii="仿宋" w:hAnsi="仿宋" w:eastAsia="仿宋"/>
          <w:sz w:val="28"/>
          <w:szCs w:val="28"/>
        </w:rPr>
        <w:t>（4）签约：</w:t>
      </w:r>
    </w:p>
    <w:p>
      <w:pPr>
        <w:rPr>
          <w:rFonts w:ascii="仿宋" w:hAnsi="仿宋" w:eastAsia="仿宋"/>
          <w:sz w:val="28"/>
          <w:szCs w:val="28"/>
        </w:rPr>
      </w:pPr>
      <w:r>
        <w:rPr>
          <w:rFonts w:hint="eastAsia" w:ascii="仿宋" w:hAnsi="仿宋" w:eastAsia="仿宋"/>
          <w:sz w:val="28"/>
          <w:szCs w:val="28"/>
        </w:rPr>
        <w:t>成功引入的传统媒体方合作伙伴、行业媒体方合作伙伴收到通知后10个工作日内，向咪咕音乐有限公司全额缴纳履约保证金。成功引入的专属媒体方合作伙伴收到通知后20个工作日内，向咪咕音乐有限公司全额缴纳预付广告费。未按时缴纳的合作方，视为自动放弃合作，未来12个月内不得参与业务管理部门所有业务合作接入。双方签订广告彩铃媒体方合作协议，协议有效期一年；</w:t>
      </w:r>
    </w:p>
    <w:p>
      <w:pPr>
        <w:rPr>
          <w:rFonts w:ascii="仿宋" w:hAnsi="仿宋" w:eastAsia="仿宋"/>
          <w:sz w:val="28"/>
          <w:szCs w:val="28"/>
        </w:rPr>
      </w:pPr>
      <w:r>
        <w:rPr>
          <w:rFonts w:hint="eastAsia" w:ascii="仿宋" w:hAnsi="仿宋" w:eastAsia="仿宋"/>
          <w:sz w:val="28"/>
          <w:szCs w:val="28"/>
        </w:rPr>
        <w:t>（5）业务上线：</w:t>
      </w:r>
    </w:p>
    <w:p>
      <w:pPr>
        <w:rPr>
          <w:rFonts w:ascii="仿宋" w:hAnsi="仿宋" w:eastAsia="仿宋"/>
          <w:sz w:val="28"/>
          <w:szCs w:val="28"/>
        </w:rPr>
      </w:pPr>
      <w:r>
        <w:rPr>
          <w:rFonts w:hint="eastAsia" w:ascii="仿宋" w:hAnsi="仿宋" w:eastAsia="仿宋"/>
          <w:sz w:val="28"/>
          <w:szCs w:val="28"/>
        </w:rPr>
        <w:t>双方签约后，为合作伙伴分配广告彩铃管理平台账号和权限。</w:t>
      </w:r>
    </w:p>
    <w:p>
      <w:pPr>
        <w:rPr>
          <w:rFonts w:ascii="仿宋" w:hAnsi="仿宋" w:eastAsia="仿宋" w:cs="Arial"/>
          <w:b/>
          <w:sz w:val="28"/>
        </w:rPr>
      </w:pPr>
      <w:r>
        <w:rPr>
          <w:rFonts w:hint="eastAsia" w:ascii="仿宋" w:hAnsi="仿宋" w:eastAsia="仿宋" w:cs="Arial"/>
          <w:b/>
          <w:sz w:val="28"/>
        </w:rPr>
        <w:t>四、本次引入流程如下：</w:t>
      </w:r>
    </w:p>
    <w:tbl>
      <w:tblPr>
        <w:tblStyle w:val="10"/>
        <w:tblW w:w="11057" w:type="dxa"/>
        <w:tblInd w:w="-1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2581"/>
        <w:gridCol w:w="1672"/>
        <w:gridCol w:w="2155"/>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2" w:type="dxa"/>
            <w:shd w:val="clear" w:color="auto" w:fill="F1F1F1" w:themeFill="background1" w:themeFillShade="F2"/>
            <w:vAlign w:val="center"/>
          </w:tcPr>
          <w:p>
            <w:pPr>
              <w:spacing w:line="360" w:lineRule="auto"/>
              <w:jc w:val="center"/>
              <w:rPr>
                <w:rFonts w:ascii="仿宋" w:hAnsi="仿宋" w:eastAsia="仿宋" w:cs="Arial"/>
                <w:sz w:val="24"/>
                <w:szCs w:val="24"/>
              </w:rPr>
            </w:pPr>
            <w:r>
              <w:rPr>
                <w:rFonts w:ascii="仿宋" w:hAnsi="仿宋" w:eastAsia="仿宋" w:cs="Arial"/>
                <w:sz w:val="24"/>
                <w:szCs w:val="24"/>
              </w:rPr>
              <w:t>序号</w:t>
            </w:r>
          </w:p>
        </w:tc>
        <w:tc>
          <w:tcPr>
            <w:tcW w:w="2581" w:type="dxa"/>
            <w:shd w:val="clear" w:color="auto" w:fill="F1F1F1" w:themeFill="background1" w:themeFillShade="F2"/>
            <w:vAlign w:val="center"/>
          </w:tcPr>
          <w:p>
            <w:pPr>
              <w:spacing w:line="360" w:lineRule="auto"/>
              <w:jc w:val="center"/>
              <w:rPr>
                <w:rFonts w:ascii="仿宋" w:hAnsi="仿宋" w:eastAsia="仿宋" w:cs="Arial"/>
                <w:sz w:val="24"/>
                <w:szCs w:val="24"/>
              </w:rPr>
            </w:pPr>
            <w:r>
              <w:rPr>
                <w:rFonts w:ascii="仿宋" w:hAnsi="仿宋" w:eastAsia="仿宋" w:cs="Arial"/>
                <w:sz w:val="24"/>
                <w:szCs w:val="24"/>
              </w:rPr>
              <w:t>时间节点</w:t>
            </w:r>
          </w:p>
        </w:tc>
        <w:tc>
          <w:tcPr>
            <w:tcW w:w="1672" w:type="dxa"/>
            <w:shd w:val="clear" w:color="auto" w:fill="F1F1F1" w:themeFill="background1" w:themeFillShade="F2"/>
            <w:vAlign w:val="center"/>
          </w:tcPr>
          <w:p>
            <w:pPr>
              <w:spacing w:line="360" w:lineRule="auto"/>
              <w:jc w:val="center"/>
              <w:rPr>
                <w:rFonts w:ascii="仿宋" w:hAnsi="仿宋" w:eastAsia="仿宋" w:cs="Arial"/>
                <w:sz w:val="24"/>
                <w:szCs w:val="24"/>
              </w:rPr>
            </w:pPr>
            <w:r>
              <w:rPr>
                <w:rFonts w:ascii="仿宋" w:hAnsi="仿宋" w:eastAsia="仿宋" w:cs="Arial"/>
                <w:sz w:val="24"/>
                <w:szCs w:val="24"/>
              </w:rPr>
              <w:t>涉及方</w:t>
            </w:r>
          </w:p>
        </w:tc>
        <w:tc>
          <w:tcPr>
            <w:tcW w:w="2155" w:type="dxa"/>
            <w:shd w:val="clear" w:color="auto" w:fill="F1F1F1" w:themeFill="background1" w:themeFillShade="F2"/>
            <w:vAlign w:val="center"/>
          </w:tcPr>
          <w:p>
            <w:pPr>
              <w:spacing w:line="360" w:lineRule="auto"/>
              <w:jc w:val="center"/>
              <w:rPr>
                <w:rFonts w:ascii="仿宋" w:hAnsi="仿宋" w:eastAsia="仿宋" w:cs="Arial"/>
                <w:sz w:val="24"/>
                <w:szCs w:val="24"/>
              </w:rPr>
            </w:pPr>
            <w:r>
              <w:rPr>
                <w:rFonts w:ascii="仿宋" w:hAnsi="仿宋" w:eastAsia="仿宋" w:cs="Arial"/>
                <w:sz w:val="24"/>
                <w:szCs w:val="24"/>
              </w:rPr>
              <w:t>事项名称</w:t>
            </w:r>
          </w:p>
        </w:tc>
        <w:tc>
          <w:tcPr>
            <w:tcW w:w="3827" w:type="dxa"/>
            <w:shd w:val="clear" w:color="auto" w:fill="F1F1F1" w:themeFill="background1" w:themeFillShade="F2"/>
          </w:tcPr>
          <w:p>
            <w:pPr>
              <w:spacing w:line="360" w:lineRule="auto"/>
              <w:jc w:val="center"/>
              <w:rPr>
                <w:rFonts w:ascii="仿宋" w:hAnsi="仿宋" w:eastAsia="仿宋" w:cs="Arial"/>
                <w:sz w:val="24"/>
                <w:szCs w:val="24"/>
              </w:rPr>
            </w:pPr>
            <w:r>
              <w:rPr>
                <w:rFonts w:ascii="仿宋" w:hAnsi="仿宋" w:eastAsia="仿宋" w:cs="Arial"/>
                <w:sz w:val="24"/>
                <w:szCs w:val="24"/>
              </w:rPr>
              <w:t>事项描述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1</w:t>
            </w:r>
          </w:p>
        </w:tc>
        <w:tc>
          <w:tcPr>
            <w:tcW w:w="2581"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20</w:t>
            </w:r>
            <w:r>
              <w:rPr>
                <w:rFonts w:ascii="仿宋" w:hAnsi="仿宋" w:eastAsia="仿宋" w:cs="Arial"/>
                <w:sz w:val="24"/>
                <w:szCs w:val="24"/>
              </w:rPr>
              <w:t>2</w:t>
            </w:r>
            <w:r>
              <w:rPr>
                <w:rFonts w:hint="eastAsia" w:ascii="仿宋" w:hAnsi="仿宋" w:eastAsia="仿宋" w:cs="Arial"/>
                <w:sz w:val="24"/>
                <w:szCs w:val="24"/>
                <w:lang w:val="en-US" w:eastAsia="zh-CN"/>
              </w:rPr>
              <w:t>3</w:t>
            </w:r>
            <w:r>
              <w:rPr>
                <w:rFonts w:hint="eastAsia" w:ascii="仿宋" w:hAnsi="仿宋" w:eastAsia="仿宋" w:cs="Arial"/>
                <w:sz w:val="24"/>
                <w:szCs w:val="24"/>
              </w:rPr>
              <w:t>年</w:t>
            </w:r>
            <w:r>
              <w:rPr>
                <w:rFonts w:hint="eastAsia" w:ascii="仿宋" w:hAnsi="仿宋" w:eastAsia="仿宋" w:cs="Arial"/>
                <w:sz w:val="24"/>
                <w:szCs w:val="24"/>
                <w:lang w:val="en-US" w:eastAsia="zh-CN"/>
              </w:rPr>
              <w:t>4</w:t>
            </w:r>
            <w:r>
              <w:rPr>
                <w:rFonts w:hint="eastAsia" w:ascii="仿宋" w:hAnsi="仿宋" w:eastAsia="仿宋" w:cs="Arial"/>
                <w:sz w:val="24"/>
                <w:szCs w:val="24"/>
              </w:rPr>
              <w:t>月上旬至中旬</w:t>
            </w:r>
          </w:p>
        </w:tc>
        <w:tc>
          <w:tcPr>
            <w:tcW w:w="1672"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咪咕音乐</w:t>
            </w:r>
          </w:p>
        </w:tc>
        <w:tc>
          <w:tcPr>
            <w:tcW w:w="2155"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发布引入通告</w:t>
            </w:r>
          </w:p>
        </w:tc>
        <w:tc>
          <w:tcPr>
            <w:tcW w:w="3827" w:type="dxa"/>
          </w:tcPr>
          <w:p>
            <w:pPr>
              <w:rPr>
                <w:rFonts w:ascii="仿宋" w:hAnsi="仿宋" w:eastAsia="仿宋"/>
              </w:rPr>
            </w:pPr>
            <w:r>
              <w:rPr>
                <w:rFonts w:hint="eastAsia" w:ascii="仿宋" w:hAnsi="仿宋" w:eastAsia="仿宋"/>
                <w:sz w:val="24"/>
              </w:rPr>
              <w:t>通过CMS系统和Open平台发布广告彩铃媒体方引入公告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2</w:t>
            </w:r>
          </w:p>
        </w:tc>
        <w:tc>
          <w:tcPr>
            <w:tcW w:w="2581"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公示期：引入公告公示之日起，</w:t>
            </w:r>
            <w:r>
              <w:rPr>
                <w:rFonts w:ascii="仿宋" w:hAnsi="仿宋" w:eastAsia="仿宋" w:cs="Arial"/>
                <w:sz w:val="24"/>
                <w:szCs w:val="24"/>
              </w:rPr>
              <w:t>5</w:t>
            </w:r>
            <w:r>
              <w:rPr>
                <w:rFonts w:hint="eastAsia" w:ascii="仿宋" w:hAnsi="仿宋" w:eastAsia="仿宋" w:cs="Arial"/>
                <w:sz w:val="24"/>
                <w:szCs w:val="24"/>
              </w:rPr>
              <w:t>个工作日</w:t>
            </w:r>
            <w:r>
              <w:rPr>
                <w:rFonts w:ascii="仿宋" w:hAnsi="仿宋" w:eastAsia="仿宋" w:cs="Arial"/>
                <w:sz w:val="24"/>
                <w:szCs w:val="24"/>
              </w:rPr>
              <w:br w:type="textWrapping"/>
            </w:r>
          </w:p>
        </w:tc>
        <w:tc>
          <w:tcPr>
            <w:tcW w:w="1672"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合作方</w:t>
            </w:r>
          </w:p>
        </w:tc>
        <w:tc>
          <w:tcPr>
            <w:tcW w:w="2155" w:type="dxa"/>
            <w:vAlign w:val="center"/>
          </w:tcPr>
          <w:p>
            <w:pPr>
              <w:spacing w:line="360" w:lineRule="auto"/>
              <w:jc w:val="center"/>
              <w:rPr>
                <w:rFonts w:ascii="仿宋" w:hAnsi="仿宋" w:eastAsia="仿宋" w:cs="Arial"/>
                <w:sz w:val="24"/>
                <w:szCs w:val="24"/>
              </w:rPr>
            </w:pPr>
            <w:bookmarkStart w:id="1" w:name="_GoBack"/>
            <w:bookmarkEnd w:id="1"/>
            <w:r>
              <w:rPr>
                <w:rFonts w:hint="eastAsia" w:ascii="仿宋" w:hAnsi="仿宋" w:eastAsia="仿宋" w:cs="Arial"/>
                <w:sz w:val="24"/>
                <w:szCs w:val="24"/>
              </w:rPr>
              <w:t>递交报名资料</w:t>
            </w:r>
            <w:r>
              <w:rPr>
                <w:rFonts w:ascii="仿宋" w:hAnsi="仿宋" w:eastAsia="仿宋" w:cs="Arial"/>
                <w:sz w:val="24"/>
                <w:szCs w:val="24"/>
              </w:rPr>
              <w:br w:type="textWrapping"/>
            </w:r>
            <w:r>
              <w:rPr>
                <w:rFonts w:ascii="仿宋" w:hAnsi="仿宋" w:eastAsia="仿宋" w:cs="Arial"/>
                <w:sz w:val="24"/>
                <w:szCs w:val="24"/>
              </w:rPr>
              <w:t>（联系地址和邮箱请见</w:t>
            </w:r>
            <w:r>
              <w:rPr>
                <w:rFonts w:ascii="仿宋" w:hAnsi="仿宋" w:eastAsia="仿宋" w:cs="Arial"/>
                <w:b/>
                <w:sz w:val="24"/>
                <w:szCs w:val="24"/>
              </w:rPr>
              <w:t>本文附件四</w:t>
            </w:r>
            <w:r>
              <w:rPr>
                <w:rFonts w:ascii="仿宋" w:hAnsi="仿宋" w:eastAsia="仿宋" w:cs="Arial"/>
                <w:sz w:val="24"/>
                <w:szCs w:val="24"/>
              </w:rPr>
              <w:t>）</w:t>
            </w:r>
          </w:p>
        </w:tc>
        <w:tc>
          <w:tcPr>
            <w:tcW w:w="3827" w:type="dxa"/>
          </w:tcPr>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1. 传统媒体方：</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1) 公司资质材料电子版</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2) 意向申报的省份信息表电子版</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3) 合作意向书盖章扫描件</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4) 其他证明材料</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2.</w:t>
            </w:r>
            <w:r>
              <w:rPr>
                <w:rFonts w:ascii="仿宋" w:hAnsi="仿宋" w:eastAsia="仿宋" w:cs="Arial"/>
                <w:sz w:val="24"/>
                <w:szCs w:val="24"/>
              </w:rPr>
              <w:t xml:space="preserve"> </w:t>
            </w:r>
            <w:r>
              <w:rPr>
                <w:rFonts w:hint="eastAsia" w:ascii="仿宋" w:hAnsi="仿宋" w:eastAsia="仿宋" w:cs="Arial"/>
                <w:sz w:val="24"/>
                <w:szCs w:val="24"/>
              </w:rPr>
              <w:t>行业媒体方：</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1) 公司资质材料电子版</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2) 合作意向书盖章扫描件</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3) 其他证明材料</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3. 专属媒体方：</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1) 公司资质材料电子版</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2) 媒体方接入申请盖章扫描件</w:t>
            </w:r>
          </w:p>
          <w:p>
            <w:pPr>
              <w:widowControl/>
              <w:spacing w:line="300" w:lineRule="atLeast"/>
              <w:jc w:val="left"/>
              <w:rPr>
                <w:rFonts w:ascii="仿宋" w:hAnsi="仿宋" w:eastAsia="仿宋" w:cs="Arial"/>
                <w:sz w:val="24"/>
                <w:szCs w:val="24"/>
              </w:rPr>
            </w:pPr>
            <w:r>
              <w:rPr>
                <w:rFonts w:hint="eastAsia" w:ascii="仿宋" w:hAnsi="仿宋" w:eastAsia="仿宋" w:cs="Arial"/>
                <w:sz w:val="24"/>
                <w:szCs w:val="24"/>
              </w:rPr>
              <w:t>3) 合作意向书盖章扫描件</w:t>
            </w:r>
          </w:p>
          <w:p>
            <w:pPr>
              <w:widowControl/>
              <w:spacing w:line="300" w:lineRule="atLeast"/>
              <w:jc w:val="left"/>
              <w:rPr>
                <w:rFonts w:ascii="仿宋" w:hAnsi="仿宋" w:eastAsia="仿宋" w:cs="Arial"/>
                <w:sz w:val="24"/>
                <w:szCs w:val="24"/>
              </w:rPr>
            </w:pPr>
            <w:r>
              <w:rPr>
                <w:rFonts w:hint="eastAsia" w:ascii="仿宋" w:hAnsi="仿宋" w:eastAsia="仿宋" w:cs="Arial"/>
                <w:kern w:val="0"/>
                <w:sz w:val="24"/>
                <w:szCs w:val="24"/>
              </w:rPr>
              <w:t>4) 其他证明材料（预缴广告费承诺等）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3</w:t>
            </w:r>
          </w:p>
        </w:tc>
        <w:tc>
          <w:tcPr>
            <w:tcW w:w="2581"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公示期截止之日起，</w:t>
            </w:r>
            <w:r>
              <w:rPr>
                <w:rFonts w:ascii="仿宋" w:hAnsi="仿宋" w:eastAsia="仿宋" w:cs="Arial"/>
                <w:sz w:val="24"/>
                <w:szCs w:val="24"/>
              </w:rPr>
              <w:t>5</w:t>
            </w:r>
            <w:r>
              <w:rPr>
                <w:rFonts w:hint="eastAsia" w:ascii="仿宋" w:hAnsi="仿宋" w:eastAsia="仿宋" w:cs="Arial"/>
                <w:sz w:val="24"/>
                <w:szCs w:val="24"/>
              </w:rPr>
              <w:t>个工作日内</w:t>
            </w:r>
          </w:p>
        </w:tc>
        <w:tc>
          <w:tcPr>
            <w:tcW w:w="1672"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咪咕音乐</w:t>
            </w:r>
          </w:p>
        </w:tc>
        <w:tc>
          <w:tcPr>
            <w:tcW w:w="2155"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现场评审</w:t>
            </w:r>
          </w:p>
        </w:tc>
        <w:tc>
          <w:tcPr>
            <w:tcW w:w="3827" w:type="dxa"/>
            <w:vAlign w:val="center"/>
          </w:tcPr>
          <w:p>
            <w:pPr>
              <w:spacing w:line="360" w:lineRule="auto"/>
              <w:rPr>
                <w:rFonts w:ascii="仿宋" w:hAnsi="仿宋" w:eastAsia="仿宋" w:cs="Arial"/>
                <w:sz w:val="24"/>
                <w:szCs w:val="24"/>
              </w:rPr>
            </w:pPr>
            <w:r>
              <w:rPr>
                <w:rFonts w:hint="eastAsia" w:ascii="仿宋" w:hAnsi="仿宋" w:eastAsia="仿宋" w:cs="Arial"/>
                <w:sz w:val="24"/>
                <w:szCs w:val="24"/>
              </w:rPr>
              <w:t>组织评委对合作伙伴进行打分、审核；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4</w:t>
            </w:r>
          </w:p>
        </w:tc>
        <w:tc>
          <w:tcPr>
            <w:tcW w:w="2581"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根据实际情况而定</w:t>
            </w:r>
          </w:p>
        </w:tc>
        <w:tc>
          <w:tcPr>
            <w:tcW w:w="1672"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咪咕音乐</w:t>
            </w:r>
          </w:p>
        </w:tc>
        <w:tc>
          <w:tcPr>
            <w:tcW w:w="2155"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评审结果决策</w:t>
            </w:r>
          </w:p>
        </w:tc>
        <w:tc>
          <w:tcPr>
            <w:tcW w:w="3827" w:type="dxa"/>
            <w:vAlign w:val="center"/>
          </w:tcPr>
          <w:p>
            <w:pPr>
              <w:spacing w:line="360" w:lineRule="auto"/>
              <w:rPr>
                <w:rFonts w:ascii="仿宋" w:hAnsi="仿宋" w:eastAsia="仿宋" w:cs="Arial"/>
                <w:sz w:val="24"/>
                <w:szCs w:val="24"/>
              </w:rPr>
            </w:pPr>
            <w:r>
              <w:rPr>
                <w:rFonts w:hint="eastAsia" w:ascii="仿宋" w:hAnsi="仿宋" w:eastAsia="仿宋" w:cs="Arial"/>
                <w:sz w:val="24"/>
                <w:szCs w:val="24"/>
              </w:rPr>
              <w:t>评审结果上报咪咕音乐总经理办公会进行决策；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5</w:t>
            </w:r>
          </w:p>
        </w:tc>
        <w:tc>
          <w:tcPr>
            <w:tcW w:w="2581" w:type="dxa"/>
            <w:vAlign w:val="center"/>
          </w:tcPr>
          <w:p>
            <w:pPr>
              <w:widowControl/>
              <w:spacing w:after="150" w:line="384" w:lineRule="atLeast"/>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保证金方式：接到成功通知的</w:t>
            </w:r>
            <w:r>
              <w:rPr>
                <w:rFonts w:ascii="仿宋" w:hAnsi="仿宋" w:eastAsia="仿宋" w:cs="宋体"/>
                <w:color w:val="333333"/>
                <w:kern w:val="0"/>
                <w:sz w:val="24"/>
                <w:szCs w:val="24"/>
              </w:rPr>
              <w:t>10</w:t>
            </w:r>
            <w:r>
              <w:rPr>
                <w:rFonts w:hint="eastAsia" w:ascii="仿宋" w:hAnsi="仿宋" w:eastAsia="仿宋" w:cs="宋体"/>
                <w:color w:val="333333"/>
                <w:kern w:val="0"/>
                <w:sz w:val="24"/>
                <w:szCs w:val="24"/>
              </w:rPr>
              <w:t>个工作日内；</w:t>
            </w:r>
          </w:p>
          <w:p>
            <w:pPr>
              <w:widowControl/>
              <w:spacing w:after="150" w:line="384" w:lineRule="atLeast"/>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广告费方式：接到成功通知的</w:t>
            </w:r>
            <w:r>
              <w:rPr>
                <w:rFonts w:ascii="仿宋" w:hAnsi="仿宋" w:eastAsia="仿宋" w:cs="宋体"/>
                <w:color w:val="333333"/>
                <w:kern w:val="0"/>
                <w:sz w:val="24"/>
                <w:szCs w:val="24"/>
              </w:rPr>
              <w:t>20</w:t>
            </w:r>
            <w:r>
              <w:rPr>
                <w:rFonts w:hint="eastAsia" w:ascii="仿宋" w:hAnsi="仿宋" w:eastAsia="仿宋" w:cs="宋体"/>
                <w:color w:val="333333"/>
                <w:kern w:val="0"/>
                <w:sz w:val="24"/>
                <w:szCs w:val="24"/>
              </w:rPr>
              <w:t>个工作日内；</w:t>
            </w:r>
          </w:p>
        </w:tc>
        <w:tc>
          <w:tcPr>
            <w:tcW w:w="1672" w:type="dxa"/>
            <w:vAlign w:val="center"/>
          </w:tcPr>
          <w:p>
            <w:pPr>
              <w:widowControl/>
              <w:spacing w:after="150" w:line="384" w:lineRule="atLeast"/>
              <w:ind w:firstLine="120" w:firstLineChars="5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合作方</w:t>
            </w:r>
          </w:p>
        </w:tc>
        <w:tc>
          <w:tcPr>
            <w:tcW w:w="2155" w:type="dxa"/>
            <w:vAlign w:val="center"/>
          </w:tcPr>
          <w:p>
            <w:pPr>
              <w:widowControl/>
              <w:spacing w:after="150" w:line="384" w:lineRule="atLeast"/>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缴纳保证金或广告费（付款时款项请备注保证金或广告费）</w:t>
            </w:r>
          </w:p>
        </w:tc>
        <w:tc>
          <w:tcPr>
            <w:tcW w:w="3827" w:type="dxa"/>
            <w:vAlign w:val="center"/>
          </w:tcPr>
          <w:p>
            <w:pPr>
              <w:widowControl/>
              <w:spacing w:after="150" w:line="384" w:lineRule="atLeast"/>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决策同意引入为媒体方的合作伙伴按时、按量缴纳保证金或广告费；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pPr>
              <w:spacing w:line="360" w:lineRule="auto"/>
              <w:jc w:val="center"/>
              <w:rPr>
                <w:rFonts w:ascii="仿宋" w:hAnsi="仿宋" w:eastAsia="仿宋" w:cs="Arial"/>
                <w:sz w:val="24"/>
                <w:szCs w:val="24"/>
              </w:rPr>
            </w:pPr>
            <w:r>
              <w:rPr>
                <w:rFonts w:ascii="仿宋" w:hAnsi="仿宋" w:eastAsia="仿宋" w:cs="Arial"/>
                <w:sz w:val="24"/>
                <w:szCs w:val="24"/>
              </w:rPr>
              <w:t>6</w:t>
            </w:r>
          </w:p>
        </w:tc>
        <w:tc>
          <w:tcPr>
            <w:tcW w:w="2581" w:type="dxa"/>
            <w:vAlign w:val="center"/>
          </w:tcPr>
          <w:p>
            <w:pPr>
              <w:spacing w:line="360" w:lineRule="auto"/>
              <w:jc w:val="left"/>
              <w:rPr>
                <w:rFonts w:ascii="仿宋" w:hAnsi="仿宋" w:eastAsia="仿宋" w:cs="Arial"/>
                <w:sz w:val="24"/>
                <w:szCs w:val="24"/>
              </w:rPr>
            </w:pPr>
            <w:r>
              <w:rPr>
                <w:rFonts w:hint="eastAsia" w:ascii="仿宋" w:hAnsi="仿宋" w:eastAsia="仿宋" w:cs="Arial"/>
                <w:sz w:val="24"/>
                <w:szCs w:val="24"/>
              </w:rPr>
              <w:t>根据实际情况而定</w:t>
            </w:r>
          </w:p>
        </w:tc>
        <w:tc>
          <w:tcPr>
            <w:tcW w:w="1672"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双方</w:t>
            </w:r>
          </w:p>
        </w:tc>
        <w:tc>
          <w:tcPr>
            <w:tcW w:w="2155" w:type="dxa"/>
            <w:vAlign w:val="center"/>
          </w:tcPr>
          <w:p>
            <w:pPr>
              <w:spacing w:line="360" w:lineRule="auto"/>
              <w:jc w:val="center"/>
              <w:rPr>
                <w:rFonts w:ascii="仿宋" w:hAnsi="仿宋" w:eastAsia="仿宋" w:cs="Arial"/>
                <w:sz w:val="24"/>
                <w:szCs w:val="24"/>
              </w:rPr>
            </w:pPr>
            <w:r>
              <w:rPr>
                <w:rFonts w:hint="eastAsia" w:ascii="仿宋" w:hAnsi="仿宋" w:eastAsia="仿宋" w:cs="Arial"/>
                <w:sz w:val="24"/>
                <w:szCs w:val="24"/>
              </w:rPr>
              <w:t>正式签约</w:t>
            </w:r>
          </w:p>
        </w:tc>
        <w:tc>
          <w:tcPr>
            <w:tcW w:w="3827" w:type="dxa"/>
            <w:vAlign w:val="center"/>
          </w:tcPr>
          <w:p>
            <w:pPr>
              <w:spacing w:line="360" w:lineRule="auto"/>
              <w:rPr>
                <w:rFonts w:ascii="仿宋" w:hAnsi="仿宋" w:eastAsia="仿宋" w:cs="Arial"/>
                <w:sz w:val="24"/>
                <w:szCs w:val="24"/>
              </w:rPr>
            </w:pPr>
            <w:r>
              <w:rPr>
                <w:rFonts w:hint="eastAsia" w:ascii="仿宋" w:hAnsi="仿宋" w:eastAsia="仿宋" w:cs="Arial"/>
                <w:sz w:val="24"/>
                <w:szCs w:val="24"/>
              </w:rPr>
              <w:t>咪咕音乐与其签订正式的广告彩铃媒体方合作协议，协议有效期为一年。</w:t>
            </w:r>
          </w:p>
        </w:tc>
      </w:tr>
    </w:tbl>
    <w:p>
      <w:pPr>
        <w:rPr>
          <w:rFonts w:ascii="仿宋" w:hAnsi="仿宋" w:eastAsia="仿宋" w:cs="Arial"/>
          <w:sz w:val="28"/>
        </w:rPr>
      </w:pPr>
    </w:p>
    <w:p>
      <w:pPr>
        <w:rPr>
          <w:rFonts w:ascii="仿宋" w:hAnsi="仿宋" w:eastAsia="仿宋"/>
          <w:bCs/>
          <w:sz w:val="28"/>
          <w:szCs w:val="28"/>
        </w:rPr>
      </w:pPr>
      <w:r>
        <w:rPr>
          <w:rFonts w:hint="eastAsia" w:ascii="仿宋" w:hAnsi="仿宋" w:eastAsia="仿宋" w:cs="Arial"/>
          <w:b/>
          <w:sz w:val="28"/>
        </w:rPr>
        <w:t>附件一：省公司二级部门或市公司推荐函模板</w:t>
      </w:r>
    </w:p>
    <w:p>
      <w:pPr>
        <w:spacing w:line="360" w:lineRule="auto"/>
        <w:jc w:val="center"/>
        <w:rPr>
          <w:rFonts w:ascii="仿宋" w:hAnsi="仿宋" w:eastAsia="仿宋" w:cs="Arial"/>
          <w:sz w:val="28"/>
        </w:rPr>
      </w:pPr>
      <w:r>
        <w:rPr>
          <w:rFonts w:hint="eastAsia" w:ascii="仿宋" w:hAnsi="仿宋" w:eastAsia="仿宋" w:cs="Arial"/>
          <w:b/>
          <w:sz w:val="28"/>
        </w:rPr>
        <w:t>关于推荐XXX公司为XXX省</w:t>
      </w:r>
      <w:r>
        <w:rPr>
          <w:rFonts w:hint="eastAsia" w:ascii="仿宋" w:hAnsi="仿宋" w:eastAsia="仿宋" w:cs="Arial"/>
          <w:sz w:val="28"/>
        </w:rPr>
        <w:t>（自治区、直辖市、市）</w:t>
      </w:r>
    </w:p>
    <w:p>
      <w:pPr>
        <w:spacing w:line="360" w:lineRule="auto"/>
        <w:jc w:val="center"/>
        <w:rPr>
          <w:rFonts w:ascii="仿宋" w:hAnsi="仿宋" w:eastAsia="仿宋" w:cs="Arial"/>
          <w:b/>
          <w:sz w:val="28"/>
        </w:rPr>
      </w:pPr>
      <w:r>
        <w:rPr>
          <w:rFonts w:hint="eastAsia" w:ascii="仿宋" w:hAnsi="仿宋" w:eastAsia="仿宋" w:cs="Arial"/>
          <w:b/>
          <w:sz w:val="28"/>
        </w:rPr>
        <w:t>广告彩铃媒体方的函</w:t>
      </w:r>
    </w:p>
    <w:p>
      <w:pPr>
        <w:spacing w:line="360" w:lineRule="auto"/>
        <w:jc w:val="left"/>
        <w:rPr>
          <w:rFonts w:ascii="仿宋" w:hAnsi="仿宋" w:eastAsia="仿宋" w:cs="Arial"/>
          <w:sz w:val="28"/>
        </w:rPr>
      </w:pPr>
      <w:r>
        <w:rPr>
          <w:rFonts w:hint="eastAsia" w:ascii="仿宋" w:hAnsi="仿宋" w:eastAsia="仿宋" w:cs="Arial"/>
          <w:sz w:val="28"/>
        </w:rPr>
        <w:t>咪咕音乐有限公司：</w:t>
      </w:r>
    </w:p>
    <w:p>
      <w:pPr>
        <w:spacing w:line="360" w:lineRule="auto"/>
        <w:ind w:firstLine="570"/>
        <w:jc w:val="left"/>
        <w:rPr>
          <w:rFonts w:ascii="仿宋" w:hAnsi="仿宋" w:eastAsia="仿宋" w:cs="Arial"/>
          <w:sz w:val="28"/>
        </w:rPr>
      </w:pPr>
      <w:r>
        <w:rPr>
          <w:rFonts w:hint="eastAsia" w:ascii="仿宋" w:hAnsi="仿宋" w:eastAsia="仿宋" w:cs="Arial"/>
          <w:sz w:val="28"/>
        </w:rPr>
        <w:t>XXX公司是一家（公司简介，包含公司业务、公司优势、获得荣誉、用户拓展或与移动合作案例等）。</w:t>
      </w:r>
    </w:p>
    <w:p>
      <w:pPr>
        <w:spacing w:line="360" w:lineRule="auto"/>
        <w:ind w:firstLine="570"/>
        <w:jc w:val="left"/>
        <w:rPr>
          <w:rFonts w:ascii="仿宋" w:hAnsi="仿宋" w:eastAsia="仿宋" w:cs="Arial"/>
          <w:sz w:val="28"/>
        </w:rPr>
      </w:pPr>
      <w:r>
        <w:rPr>
          <w:rFonts w:hint="eastAsia" w:ascii="仿宋" w:hAnsi="仿宋" w:eastAsia="仿宋" w:cs="Arial"/>
          <w:sz w:val="28"/>
        </w:rPr>
        <w:t>我公司（中国移动通信集团XXX有限公司XXX分公司）已知晓广告彩铃业务模式，兹推荐XXX公司为XXX省（自治区、直辖市、市）广告彩铃媒体方。</w:t>
      </w:r>
    </w:p>
    <w:p>
      <w:pPr>
        <w:spacing w:line="360" w:lineRule="auto"/>
        <w:jc w:val="left"/>
        <w:rPr>
          <w:rFonts w:ascii="仿宋" w:hAnsi="仿宋" w:eastAsia="仿宋" w:cs="Arial"/>
          <w:sz w:val="28"/>
        </w:rPr>
      </w:pPr>
    </w:p>
    <w:p>
      <w:pPr>
        <w:spacing w:line="360" w:lineRule="auto"/>
        <w:jc w:val="right"/>
        <w:rPr>
          <w:rFonts w:ascii="仿宋" w:hAnsi="仿宋" w:eastAsia="仿宋" w:cs="Arial"/>
          <w:sz w:val="28"/>
        </w:rPr>
      </w:pPr>
      <w:r>
        <w:rPr>
          <w:rFonts w:hint="eastAsia" w:ascii="仿宋" w:hAnsi="仿宋" w:eastAsia="仿宋" w:cs="Arial"/>
          <w:sz w:val="28"/>
        </w:rPr>
        <w:t>中国移动通信集团XXX有限公司XXX部</w:t>
      </w:r>
    </w:p>
    <w:p>
      <w:pPr>
        <w:spacing w:line="360" w:lineRule="auto"/>
        <w:jc w:val="right"/>
        <w:rPr>
          <w:rFonts w:ascii="仿宋" w:hAnsi="仿宋" w:eastAsia="仿宋" w:cs="Arial"/>
          <w:sz w:val="28"/>
        </w:rPr>
      </w:pPr>
      <w:r>
        <w:rPr>
          <w:rFonts w:hint="eastAsia" w:ascii="仿宋" w:hAnsi="仿宋" w:eastAsia="仿宋" w:cs="Arial"/>
          <w:sz w:val="28"/>
        </w:rPr>
        <w:t>（中国移动通信集团XXX有限公司XXX分公司）</w:t>
      </w:r>
    </w:p>
    <w:p>
      <w:pPr>
        <w:spacing w:line="360" w:lineRule="auto"/>
        <w:jc w:val="right"/>
        <w:rPr>
          <w:rFonts w:ascii="仿宋" w:hAnsi="仿宋" w:eastAsia="仿宋" w:cs="Arial"/>
          <w:sz w:val="28"/>
        </w:rPr>
      </w:pPr>
      <w:r>
        <w:rPr>
          <w:rFonts w:hint="eastAsia" w:ascii="仿宋" w:hAnsi="仿宋" w:eastAsia="仿宋" w:cs="Arial"/>
          <w:sz w:val="28"/>
        </w:rPr>
        <w:t>年    月    日</w:t>
      </w:r>
    </w:p>
    <w:p>
      <w:pPr>
        <w:widowControl/>
        <w:jc w:val="left"/>
        <w:rPr>
          <w:rFonts w:ascii="仿宋" w:hAnsi="仿宋" w:eastAsia="仿宋" w:cs="Arial"/>
          <w:b/>
          <w:sz w:val="28"/>
        </w:rPr>
      </w:pPr>
      <w:r>
        <w:rPr>
          <w:rFonts w:ascii="仿宋" w:hAnsi="仿宋" w:eastAsia="仿宋" w:cs="Arial"/>
          <w:b/>
          <w:sz w:val="28"/>
        </w:rPr>
        <w:br w:type="page"/>
      </w:r>
    </w:p>
    <w:p>
      <w:pPr>
        <w:rPr>
          <w:rFonts w:ascii="仿宋" w:hAnsi="仿宋" w:eastAsia="仿宋" w:cs="Arial"/>
          <w:b/>
          <w:sz w:val="28"/>
        </w:rPr>
      </w:pPr>
      <w:r>
        <w:rPr>
          <w:rFonts w:ascii="仿宋" w:hAnsi="仿宋" w:eastAsia="仿宋" w:cs="Arial"/>
          <w:b/>
          <w:sz w:val="28"/>
        </w:rPr>
        <w:t>附件</w:t>
      </w:r>
      <w:r>
        <w:rPr>
          <w:rFonts w:hint="eastAsia" w:ascii="仿宋" w:hAnsi="仿宋" w:eastAsia="仿宋" w:cs="Arial"/>
          <w:b/>
          <w:sz w:val="28"/>
        </w:rPr>
        <w:t>二：广告彩铃媒体方评估标准</w:t>
      </w:r>
    </w:p>
    <w:p>
      <w:pPr>
        <w:rPr>
          <w:rFonts w:ascii="仿宋" w:hAnsi="仿宋" w:eastAsia="仿宋" w:cs="Arial"/>
          <w:b/>
          <w:sz w:val="28"/>
        </w:rPr>
      </w:pPr>
      <w:bookmarkStart w:id="0" w:name="_MON_1675604637"/>
      <w:bookmarkEnd w:id="0"/>
      <w:r>
        <w:rPr>
          <w:rFonts w:ascii="仿宋" w:hAnsi="仿宋" w:eastAsia="仿宋" w:cs="Arial"/>
          <w:b/>
          <w:sz w:val="28"/>
        </w:rPr>
        <w:object>
          <v:shape id="_x0000_i1025" o:spt="75" type="#_x0000_t75" style="height:52.2pt;width:75.6pt;" o:ole="t" filled="f" o:preferrelative="t" stroked="f" coordsize="21600,21600">
            <v:path/>
            <v:fill on="f" focussize="0,0"/>
            <v:stroke on="f" joinstyle="miter"/>
            <v:imagedata r:id="rId7" o:title=""/>
            <o:lock v:ext="edit" aspectratio="t"/>
            <w10:wrap type="none"/>
            <w10:anchorlock/>
          </v:shape>
          <o:OLEObject Type="Embed" ProgID="Excel.Sheet.12" ShapeID="_x0000_i1025" DrawAspect="Icon" ObjectID="_1468075725" r:id="rId6">
            <o:LockedField>false</o:LockedField>
          </o:OLEObject>
        </w:object>
      </w:r>
    </w:p>
    <w:p>
      <w:pPr>
        <w:rPr>
          <w:rFonts w:ascii="仿宋" w:hAnsi="仿宋" w:eastAsia="仿宋" w:cs="Arial"/>
          <w:b/>
          <w:sz w:val="28"/>
        </w:rPr>
      </w:pPr>
    </w:p>
    <w:p>
      <w:pPr>
        <w:rPr>
          <w:rFonts w:ascii="仿宋" w:hAnsi="仿宋" w:eastAsia="仿宋" w:cs="Arial"/>
          <w:b/>
          <w:sz w:val="28"/>
        </w:rPr>
      </w:pPr>
      <w:r>
        <w:rPr>
          <w:rFonts w:ascii="仿宋" w:hAnsi="仿宋" w:eastAsia="仿宋" w:cs="Arial"/>
          <w:b/>
          <w:sz w:val="28"/>
        </w:rPr>
        <w:t>附件</w:t>
      </w:r>
      <w:r>
        <w:rPr>
          <w:rFonts w:hint="eastAsia" w:ascii="仿宋" w:hAnsi="仿宋" w:eastAsia="仿宋" w:cs="Arial"/>
          <w:b/>
          <w:sz w:val="28"/>
        </w:rPr>
        <w:t>三：意向申报的省份信息表</w:t>
      </w:r>
    </w:p>
    <w:tbl>
      <w:tblPr>
        <w:tblStyle w:val="9"/>
        <w:tblW w:w="8449" w:type="dxa"/>
        <w:tblInd w:w="93" w:type="dxa"/>
        <w:tblLayout w:type="fixed"/>
        <w:tblCellMar>
          <w:top w:w="0" w:type="dxa"/>
          <w:left w:w="108" w:type="dxa"/>
          <w:bottom w:w="0" w:type="dxa"/>
          <w:right w:w="108" w:type="dxa"/>
        </w:tblCellMar>
      </w:tblPr>
      <w:tblGrid>
        <w:gridCol w:w="1584"/>
        <w:gridCol w:w="2912"/>
        <w:gridCol w:w="1615"/>
        <w:gridCol w:w="169"/>
        <w:gridCol w:w="2169"/>
      </w:tblGrid>
      <w:tr>
        <w:tblPrEx>
          <w:tblCellMar>
            <w:top w:w="0" w:type="dxa"/>
            <w:left w:w="108" w:type="dxa"/>
            <w:bottom w:w="0" w:type="dxa"/>
            <w:right w:w="108" w:type="dxa"/>
          </w:tblCellMar>
        </w:tblPrEx>
        <w:trPr>
          <w:trHeight w:val="270" w:hRule="atLeast"/>
        </w:trPr>
        <w:tc>
          <w:tcPr>
            <w:tcW w:w="8449" w:type="dxa"/>
            <w:gridSpan w:val="5"/>
            <w:tcBorders>
              <w:top w:val="single" w:color="auto" w:sz="4" w:space="0"/>
              <w:left w:val="single" w:color="auto" w:sz="4" w:space="0"/>
              <w:bottom w:val="single" w:color="auto" w:sz="4" w:space="0"/>
              <w:right w:val="single" w:color="000000" w:sz="4" w:space="0"/>
            </w:tcBorders>
            <w:shd w:val="clear" w:color="auto" w:fill="auto"/>
            <w:vAlign w:val="bottom"/>
          </w:tcPr>
          <w:p>
            <w:pPr>
              <w:spacing w:line="360" w:lineRule="auto"/>
              <w:jc w:val="center"/>
              <w:rPr>
                <w:rFonts w:ascii="宋体" w:hAnsi="宋体" w:cs="宋体"/>
                <w:color w:val="000000"/>
                <w:kern w:val="0"/>
                <w:sz w:val="22"/>
              </w:rPr>
            </w:pPr>
            <w:r>
              <w:rPr>
                <w:rFonts w:hint="eastAsia" w:ascii="仿宋" w:hAnsi="仿宋" w:eastAsia="仿宋" w:cs="Arial"/>
                <w:b/>
                <w:sz w:val="24"/>
              </w:rPr>
              <w:t>意向申报省份信息表</w:t>
            </w:r>
          </w:p>
        </w:tc>
      </w:tr>
      <w:tr>
        <w:tblPrEx>
          <w:tblCellMar>
            <w:top w:w="0" w:type="dxa"/>
            <w:left w:w="108" w:type="dxa"/>
            <w:bottom w:w="0" w:type="dxa"/>
            <w:right w:w="108" w:type="dxa"/>
          </w:tblCellMar>
        </w:tblPrEx>
        <w:trPr>
          <w:trHeight w:val="270" w:hRule="atLeast"/>
        </w:trPr>
        <w:tc>
          <w:tcPr>
            <w:tcW w:w="1584"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 w:hAnsi="仿宋" w:eastAsia="仿宋" w:cs="Arial"/>
                <w:sz w:val="24"/>
              </w:rPr>
            </w:pPr>
            <w:r>
              <w:rPr>
                <w:rFonts w:hint="eastAsia" w:ascii="仿宋" w:hAnsi="仿宋" w:eastAsia="仿宋" w:cs="Arial"/>
                <w:sz w:val="24"/>
              </w:rPr>
              <w:t>单位名称</w:t>
            </w:r>
          </w:p>
        </w:tc>
        <w:tc>
          <w:tcPr>
            <w:tcW w:w="2912" w:type="dxa"/>
            <w:tcBorders>
              <w:top w:val="nil"/>
              <w:left w:val="nil"/>
              <w:bottom w:val="single" w:color="auto" w:sz="4" w:space="0"/>
              <w:right w:val="single" w:color="auto" w:sz="4" w:space="0"/>
            </w:tcBorders>
            <w:shd w:val="clear" w:color="auto" w:fill="auto"/>
            <w:vAlign w:val="bottom"/>
          </w:tcPr>
          <w:p>
            <w:pPr>
              <w:widowControl/>
              <w:jc w:val="left"/>
              <w:rPr>
                <w:rFonts w:ascii="仿宋" w:hAnsi="仿宋" w:eastAsia="仿宋" w:cs="Arial"/>
                <w:sz w:val="24"/>
              </w:rPr>
            </w:pPr>
            <w:r>
              <w:rPr>
                <w:rFonts w:hint="eastAsia" w:ascii="仿宋" w:hAnsi="仿宋" w:eastAsia="仿宋" w:cs="Arial"/>
                <w:sz w:val="24"/>
              </w:rPr>
              <w:t>　</w:t>
            </w:r>
          </w:p>
        </w:tc>
        <w:tc>
          <w:tcPr>
            <w:tcW w:w="1784" w:type="dxa"/>
            <w:gridSpan w:val="2"/>
            <w:tcBorders>
              <w:top w:val="nil"/>
              <w:left w:val="nil"/>
              <w:bottom w:val="single" w:color="auto" w:sz="4" w:space="0"/>
              <w:right w:val="single" w:color="auto" w:sz="4" w:space="0"/>
            </w:tcBorders>
            <w:shd w:val="clear" w:color="auto" w:fill="auto"/>
            <w:vAlign w:val="bottom"/>
          </w:tcPr>
          <w:p>
            <w:pPr>
              <w:widowControl/>
              <w:jc w:val="left"/>
              <w:rPr>
                <w:rFonts w:ascii="仿宋" w:hAnsi="仿宋" w:eastAsia="仿宋" w:cs="Arial"/>
                <w:sz w:val="24"/>
              </w:rPr>
            </w:pPr>
            <w:r>
              <w:rPr>
                <w:rFonts w:hint="eastAsia" w:ascii="仿宋" w:hAnsi="仿宋" w:eastAsia="仿宋" w:cs="Arial"/>
                <w:sz w:val="24"/>
              </w:rPr>
              <w:t>申报省份</w:t>
            </w:r>
          </w:p>
        </w:tc>
        <w:tc>
          <w:tcPr>
            <w:tcW w:w="2169" w:type="dxa"/>
            <w:tcBorders>
              <w:top w:val="nil"/>
              <w:left w:val="nil"/>
              <w:bottom w:val="single" w:color="auto" w:sz="4" w:space="0"/>
              <w:right w:val="single" w:color="auto" w:sz="4" w:space="0"/>
            </w:tcBorders>
            <w:shd w:val="clear" w:color="auto" w:fill="auto"/>
            <w:vAlign w:val="bottom"/>
          </w:tcPr>
          <w:p>
            <w:pPr>
              <w:widowControl/>
              <w:jc w:val="left"/>
              <w:rPr>
                <w:rFonts w:ascii="仿宋" w:hAnsi="仿宋" w:eastAsia="仿宋" w:cs="Arial"/>
                <w:sz w:val="24"/>
              </w:rPr>
            </w:pPr>
            <w:r>
              <w:rPr>
                <w:rFonts w:hint="eastAsia" w:ascii="仿宋" w:hAnsi="仿宋" w:eastAsia="仿宋" w:cs="Arial"/>
                <w:sz w:val="24"/>
              </w:rPr>
              <w:t>　</w:t>
            </w:r>
          </w:p>
        </w:tc>
      </w:tr>
      <w:tr>
        <w:tblPrEx>
          <w:tblCellMar>
            <w:top w:w="0" w:type="dxa"/>
            <w:left w:w="108" w:type="dxa"/>
            <w:bottom w:w="0" w:type="dxa"/>
            <w:right w:w="108" w:type="dxa"/>
          </w:tblCellMar>
        </w:tblPrEx>
        <w:trPr>
          <w:trHeight w:val="312" w:hRule="atLeast"/>
        </w:trPr>
        <w:tc>
          <w:tcPr>
            <w:tcW w:w="1584"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仿宋" w:hAnsi="仿宋" w:eastAsia="仿宋" w:cs="Arial"/>
                <w:sz w:val="24"/>
              </w:rPr>
            </w:pPr>
            <w:r>
              <w:rPr>
                <w:rFonts w:hint="eastAsia" w:ascii="仿宋" w:hAnsi="仿宋" w:eastAsia="仿宋" w:cs="Arial"/>
                <w:sz w:val="24"/>
              </w:rPr>
              <w:t>优势描述</w:t>
            </w:r>
          </w:p>
          <w:p>
            <w:pPr>
              <w:widowControl/>
              <w:jc w:val="center"/>
              <w:rPr>
                <w:rFonts w:ascii="仿宋" w:hAnsi="仿宋" w:eastAsia="仿宋" w:cs="Arial"/>
                <w:sz w:val="24"/>
              </w:rPr>
            </w:pPr>
            <w:r>
              <w:rPr>
                <w:rFonts w:hint="eastAsia" w:ascii="仿宋" w:hAnsi="仿宋" w:eastAsia="仿宋" w:cs="Arial"/>
                <w:sz w:val="24"/>
              </w:rPr>
              <w:t>（简要阐述）</w:t>
            </w:r>
          </w:p>
        </w:tc>
        <w:tc>
          <w:tcPr>
            <w:tcW w:w="6865" w:type="dxa"/>
            <w:gridSpan w:val="4"/>
            <w:vMerge w:val="restart"/>
            <w:tcBorders>
              <w:top w:val="single" w:color="auto" w:sz="4" w:space="0"/>
              <w:left w:val="single" w:color="auto" w:sz="4" w:space="0"/>
              <w:bottom w:val="nil"/>
              <w:right w:val="single" w:color="000000" w:sz="4" w:space="0"/>
            </w:tcBorders>
            <w:shd w:val="clear" w:color="auto" w:fill="auto"/>
            <w:vAlign w:val="bottom"/>
          </w:tcPr>
          <w:p>
            <w:pPr>
              <w:widowControl/>
              <w:jc w:val="center"/>
              <w:rPr>
                <w:rFonts w:ascii="仿宋" w:hAnsi="仿宋" w:eastAsia="仿宋" w:cs="Arial"/>
                <w:sz w:val="24"/>
              </w:rPr>
            </w:pPr>
            <w:r>
              <w:rPr>
                <w:rFonts w:hint="eastAsia" w:ascii="仿宋" w:hAnsi="仿宋" w:eastAsia="仿宋" w:cs="Arial"/>
                <w:sz w:val="24"/>
              </w:rPr>
              <w:t>　</w:t>
            </w:r>
          </w:p>
        </w:tc>
      </w:tr>
      <w:tr>
        <w:tblPrEx>
          <w:tblCellMar>
            <w:top w:w="0" w:type="dxa"/>
            <w:left w:w="108" w:type="dxa"/>
            <w:bottom w:w="0" w:type="dxa"/>
            <w:right w:w="108" w:type="dxa"/>
          </w:tblCellMar>
        </w:tblPrEx>
        <w:trPr>
          <w:trHeight w:val="312" w:hRule="atLeast"/>
        </w:trPr>
        <w:tc>
          <w:tcPr>
            <w:tcW w:w="1584"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Arial"/>
                <w:sz w:val="24"/>
              </w:rPr>
            </w:pPr>
          </w:p>
        </w:tc>
        <w:tc>
          <w:tcPr>
            <w:tcW w:w="6865"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仿宋" w:hAnsi="仿宋" w:eastAsia="仿宋" w:cs="Arial"/>
                <w:sz w:val="24"/>
              </w:rPr>
            </w:pPr>
          </w:p>
        </w:tc>
      </w:tr>
      <w:tr>
        <w:tblPrEx>
          <w:tblCellMar>
            <w:top w:w="0" w:type="dxa"/>
            <w:left w:w="108" w:type="dxa"/>
            <w:bottom w:w="0" w:type="dxa"/>
            <w:right w:w="108" w:type="dxa"/>
          </w:tblCellMar>
        </w:tblPrEx>
        <w:trPr>
          <w:trHeight w:val="312" w:hRule="atLeast"/>
        </w:trPr>
        <w:tc>
          <w:tcPr>
            <w:tcW w:w="1584"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Arial"/>
                <w:sz w:val="24"/>
              </w:rPr>
            </w:pPr>
          </w:p>
        </w:tc>
        <w:tc>
          <w:tcPr>
            <w:tcW w:w="6865"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仿宋" w:hAnsi="仿宋" w:eastAsia="仿宋" w:cs="Arial"/>
                <w:sz w:val="24"/>
              </w:rPr>
            </w:pPr>
          </w:p>
        </w:tc>
      </w:tr>
      <w:tr>
        <w:tblPrEx>
          <w:tblCellMar>
            <w:top w:w="0" w:type="dxa"/>
            <w:left w:w="108" w:type="dxa"/>
            <w:bottom w:w="0" w:type="dxa"/>
            <w:right w:w="108" w:type="dxa"/>
          </w:tblCellMar>
        </w:tblPrEx>
        <w:trPr>
          <w:trHeight w:val="312" w:hRule="atLeast"/>
        </w:trPr>
        <w:tc>
          <w:tcPr>
            <w:tcW w:w="1584" w:type="dxa"/>
            <w:vMerge w:val="continue"/>
            <w:tcBorders>
              <w:top w:val="nil"/>
              <w:left w:val="single" w:color="auto" w:sz="4" w:space="0"/>
              <w:bottom w:val="nil"/>
              <w:right w:val="single" w:color="auto" w:sz="4" w:space="0"/>
            </w:tcBorders>
            <w:vAlign w:val="center"/>
          </w:tcPr>
          <w:p>
            <w:pPr>
              <w:widowControl/>
              <w:jc w:val="left"/>
              <w:rPr>
                <w:rFonts w:ascii="仿宋" w:hAnsi="仿宋" w:eastAsia="仿宋" w:cs="Arial"/>
                <w:sz w:val="24"/>
              </w:rPr>
            </w:pPr>
          </w:p>
        </w:tc>
        <w:tc>
          <w:tcPr>
            <w:tcW w:w="6865"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仿宋" w:hAnsi="仿宋" w:eastAsia="仿宋" w:cs="Arial"/>
                <w:sz w:val="24"/>
              </w:rPr>
            </w:pPr>
          </w:p>
        </w:tc>
      </w:tr>
      <w:tr>
        <w:tblPrEx>
          <w:tblCellMar>
            <w:top w:w="0" w:type="dxa"/>
            <w:left w:w="108" w:type="dxa"/>
            <w:bottom w:w="0" w:type="dxa"/>
            <w:right w:w="108" w:type="dxa"/>
          </w:tblCellMar>
        </w:tblPrEx>
        <w:trPr>
          <w:trHeight w:val="312" w:hRule="atLeast"/>
        </w:trPr>
        <w:tc>
          <w:tcPr>
            <w:tcW w:w="1584" w:type="dxa"/>
            <w:vMerge w:val="restart"/>
            <w:tcBorders>
              <w:top w:val="single" w:color="auto" w:sz="4" w:space="0"/>
              <w:left w:val="single" w:color="auto" w:sz="4" w:space="0"/>
              <w:bottom w:val="nil"/>
              <w:right w:val="single" w:color="auto" w:sz="4" w:space="0"/>
            </w:tcBorders>
            <w:shd w:val="clear" w:color="auto" w:fill="auto"/>
            <w:vAlign w:val="center"/>
          </w:tcPr>
          <w:p>
            <w:pPr>
              <w:widowControl/>
              <w:jc w:val="center"/>
              <w:rPr>
                <w:rFonts w:ascii="仿宋" w:hAnsi="仿宋" w:eastAsia="仿宋" w:cs="Arial"/>
                <w:sz w:val="24"/>
              </w:rPr>
            </w:pPr>
            <w:r>
              <w:rPr>
                <w:rFonts w:hint="eastAsia" w:ascii="仿宋" w:hAnsi="仿宋" w:eastAsia="仿宋" w:cs="Arial"/>
                <w:sz w:val="24"/>
              </w:rPr>
              <w:t>拓展计划</w:t>
            </w:r>
          </w:p>
          <w:p>
            <w:pPr>
              <w:widowControl/>
              <w:jc w:val="center"/>
              <w:rPr>
                <w:rFonts w:ascii="仿宋" w:hAnsi="仿宋" w:eastAsia="仿宋" w:cs="Arial"/>
                <w:sz w:val="24"/>
              </w:rPr>
            </w:pPr>
            <w:r>
              <w:rPr>
                <w:rFonts w:hint="eastAsia" w:ascii="仿宋" w:hAnsi="仿宋" w:eastAsia="仿宋" w:cs="Arial"/>
                <w:sz w:val="24"/>
              </w:rPr>
              <w:t>（简要阐述）</w:t>
            </w:r>
          </w:p>
        </w:tc>
        <w:tc>
          <w:tcPr>
            <w:tcW w:w="6865" w:type="dxa"/>
            <w:gridSpan w:val="4"/>
            <w:vMerge w:val="restart"/>
            <w:tcBorders>
              <w:top w:val="single" w:color="auto" w:sz="4" w:space="0"/>
              <w:left w:val="single" w:color="auto" w:sz="4" w:space="0"/>
              <w:bottom w:val="nil"/>
              <w:right w:val="single" w:color="000000" w:sz="4" w:space="0"/>
            </w:tcBorders>
            <w:shd w:val="clear" w:color="auto" w:fill="auto"/>
            <w:vAlign w:val="bottom"/>
          </w:tcPr>
          <w:p>
            <w:pPr>
              <w:widowControl/>
              <w:jc w:val="center"/>
              <w:rPr>
                <w:rFonts w:ascii="仿宋" w:hAnsi="仿宋" w:eastAsia="仿宋" w:cs="Arial"/>
                <w:sz w:val="24"/>
              </w:rPr>
            </w:pPr>
            <w:r>
              <w:rPr>
                <w:rFonts w:hint="eastAsia" w:ascii="仿宋" w:hAnsi="仿宋" w:eastAsia="仿宋" w:cs="Arial"/>
                <w:sz w:val="24"/>
              </w:rPr>
              <w:t>　</w:t>
            </w:r>
          </w:p>
        </w:tc>
      </w:tr>
      <w:tr>
        <w:tblPrEx>
          <w:tblCellMar>
            <w:top w:w="0" w:type="dxa"/>
            <w:left w:w="108" w:type="dxa"/>
            <w:bottom w:w="0" w:type="dxa"/>
            <w:right w:w="108" w:type="dxa"/>
          </w:tblCellMar>
        </w:tblPrEx>
        <w:trPr>
          <w:trHeight w:val="312" w:hRule="atLeast"/>
        </w:trPr>
        <w:tc>
          <w:tcPr>
            <w:tcW w:w="158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Arial"/>
                <w:sz w:val="24"/>
              </w:rPr>
            </w:pPr>
          </w:p>
        </w:tc>
        <w:tc>
          <w:tcPr>
            <w:tcW w:w="6865"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仿宋" w:hAnsi="仿宋" w:eastAsia="仿宋" w:cs="Arial"/>
                <w:sz w:val="24"/>
              </w:rPr>
            </w:pPr>
          </w:p>
        </w:tc>
      </w:tr>
      <w:tr>
        <w:tblPrEx>
          <w:tblCellMar>
            <w:top w:w="0" w:type="dxa"/>
            <w:left w:w="108" w:type="dxa"/>
            <w:bottom w:w="0" w:type="dxa"/>
            <w:right w:w="108" w:type="dxa"/>
          </w:tblCellMar>
        </w:tblPrEx>
        <w:trPr>
          <w:trHeight w:val="312" w:hRule="atLeast"/>
        </w:trPr>
        <w:tc>
          <w:tcPr>
            <w:tcW w:w="158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Arial"/>
                <w:sz w:val="24"/>
              </w:rPr>
            </w:pPr>
          </w:p>
        </w:tc>
        <w:tc>
          <w:tcPr>
            <w:tcW w:w="6865"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仿宋" w:hAnsi="仿宋" w:eastAsia="仿宋" w:cs="Arial"/>
                <w:sz w:val="24"/>
              </w:rPr>
            </w:pPr>
          </w:p>
        </w:tc>
      </w:tr>
      <w:tr>
        <w:tblPrEx>
          <w:tblCellMar>
            <w:top w:w="0" w:type="dxa"/>
            <w:left w:w="108" w:type="dxa"/>
            <w:bottom w:w="0" w:type="dxa"/>
            <w:right w:w="108" w:type="dxa"/>
          </w:tblCellMar>
        </w:tblPrEx>
        <w:trPr>
          <w:trHeight w:val="312" w:hRule="atLeast"/>
        </w:trPr>
        <w:tc>
          <w:tcPr>
            <w:tcW w:w="158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Arial"/>
                <w:sz w:val="24"/>
              </w:rPr>
            </w:pPr>
          </w:p>
        </w:tc>
        <w:tc>
          <w:tcPr>
            <w:tcW w:w="6865"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仿宋" w:hAnsi="仿宋" w:eastAsia="仿宋" w:cs="Arial"/>
                <w:sz w:val="24"/>
              </w:rPr>
            </w:pPr>
          </w:p>
        </w:tc>
      </w:tr>
      <w:tr>
        <w:tblPrEx>
          <w:tblCellMar>
            <w:top w:w="0" w:type="dxa"/>
            <w:left w:w="108" w:type="dxa"/>
            <w:bottom w:w="0" w:type="dxa"/>
            <w:right w:w="108" w:type="dxa"/>
          </w:tblCellMar>
        </w:tblPrEx>
        <w:trPr>
          <w:trHeight w:val="312" w:hRule="atLeast"/>
        </w:trPr>
        <w:tc>
          <w:tcPr>
            <w:tcW w:w="1584" w:type="dxa"/>
            <w:vMerge w:val="continue"/>
            <w:tcBorders>
              <w:top w:val="single" w:color="auto" w:sz="4" w:space="0"/>
              <w:left w:val="single" w:color="auto" w:sz="4" w:space="0"/>
              <w:bottom w:val="nil"/>
              <w:right w:val="single" w:color="auto" w:sz="4" w:space="0"/>
            </w:tcBorders>
            <w:vAlign w:val="center"/>
          </w:tcPr>
          <w:p>
            <w:pPr>
              <w:widowControl/>
              <w:jc w:val="left"/>
              <w:rPr>
                <w:rFonts w:ascii="仿宋" w:hAnsi="仿宋" w:eastAsia="仿宋" w:cs="Arial"/>
                <w:sz w:val="24"/>
              </w:rPr>
            </w:pPr>
          </w:p>
        </w:tc>
        <w:tc>
          <w:tcPr>
            <w:tcW w:w="6865" w:type="dxa"/>
            <w:gridSpan w:val="4"/>
            <w:vMerge w:val="continue"/>
            <w:tcBorders>
              <w:top w:val="single" w:color="auto" w:sz="4" w:space="0"/>
              <w:left w:val="single" w:color="auto" w:sz="4" w:space="0"/>
              <w:bottom w:val="nil"/>
              <w:right w:val="single" w:color="000000" w:sz="4" w:space="0"/>
            </w:tcBorders>
            <w:vAlign w:val="center"/>
          </w:tcPr>
          <w:p>
            <w:pPr>
              <w:widowControl/>
              <w:jc w:val="left"/>
              <w:rPr>
                <w:rFonts w:ascii="仿宋" w:hAnsi="仿宋" w:eastAsia="仿宋" w:cs="Arial"/>
                <w:sz w:val="24"/>
              </w:rPr>
            </w:pPr>
          </w:p>
        </w:tc>
      </w:tr>
      <w:tr>
        <w:tblPrEx>
          <w:tblCellMar>
            <w:top w:w="0" w:type="dxa"/>
            <w:left w:w="108" w:type="dxa"/>
            <w:bottom w:w="0" w:type="dxa"/>
            <w:right w:w="108" w:type="dxa"/>
          </w:tblCellMar>
        </w:tblPrEx>
        <w:trPr>
          <w:trHeight w:val="270" w:hRule="atLeast"/>
        </w:trPr>
        <w:tc>
          <w:tcPr>
            <w:tcW w:w="1584"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ascii="仿宋" w:hAnsi="仿宋" w:eastAsia="仿宋" w:cs="Arial"/>
                <w:sz w:val="24"/>
              </w:rPr>
            </w:pPr>
            <w:r>
              <w:rPr>
                <w:rFonts w:hint="eastAsia" w:ascii="仿宋" w:hAnsi="仿宋" w:eastAsia="仿宋" w:cs="Arial"/>
                <w:sz w:val="24"/>
              </w:rPr>
              <w:t>分省负责人</w:t>
            </w:r>
          </w:p>
        </w:tc>
        <w:tc>
          <w:tcPr>
            <w:tcW w:w="2912"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 w:hAnsi="仿宋" w:eastAsia="仿宋" w:cs="Arial"/>
                <w:sz w:val="24"/>
              </w:rPr>
            </w:pPr>
            <w:r>
              <w:rPr>
                <w:rFonts w:hint="eastAsia" w:ascii="仿宋" w:hAnsi="仿宋" w:eastAsia="仿宋" w:cs="Arial"/>
                <w:sz w:val="24"/>
              </w:rPr>
              <w:t>　</w:t>
            </w:r>
          </w:p>
        </w:tc>
        <w:tc>
          <w:tcPr>
            <w:tcW w:w="1615" w:type="dxa"/>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 w:hAnsi="仿宋" w:eastAsia="仿宋" w:cs="Arial"/>
                <w:sz w:val="24"/>
              </w:rPr>
            </w:pPr>
            <w:r>
              <w:rPr>
                <w:rFonts w:hint="eastAsia" w:ascii="仿宋" w:hAnsi="仿宋" w:eastAsia="仿宋" w:cs="Arial"/>
                <w:sz w:val="24"/>
              </w:rPr>
              <w:t>负责人电话</w:t>
            </w:r>
          </w:p>
        </w:tc>
        <w:tc>
          <w:tcPr>
            <w:tcW w:w="2338" w:type="dxa"/>
            <w:gridSpan w:val="2"/>
            <w:tcBorders>
              <w:top w:val="single" w:color="auto" w:sz="4" w:space="0"/>
              <w:left w:val="nil"/>
              <w:bottom w:val="single" w:color="auto" w:sz="4" w:space="0"/>
              <w:right w:val="single" w:color="auto" w:sz="4" w:space="0"/>
            </w:tcBorders>
            <w:shd w:val="clear" w:color="auto" w:fill="auto"/>
            <w:vAlign w:val="bottom"/>
          </w:tcPr>
          <w:p>
            <w:pPr>
              <w:widowControl/>
              <w:jc w:val="left"/>
              <w:rPr>
                <w:rFonts w:ascii="仿宋" w:hAnsi="仿宋" w:eastAsia="仿宋" w:cs="Arial"/>
                <w:sz w:val="24"/>
              </w:rPr>
            </w:pPr>
            <w:r>
              <w:rPr>
                <w:rFonts w:hint="eastAsia" w:ascii="仿宋" w:hAnsi="仿宋" w:eastAsia="仿宋" w:cs="Arial"/>
                <w:sz w:val="24"/>
              </w:rPr>
              <w:t>　</w:t>
            </w:r>
          </w:p>
        </w:tc>
      </w:tr>
      <w:tr>
        <w:tblPrEx>
          <w:tblCellMar>
            <w:top w:w="0" w:type="dxa"/>
            <w:left w:w="108" w:type="dxa"/>
            <w:bottom w:w="0" w:type="dxa"/>
            <w:right w:w="108" w:type="dxa"/>
          </w:tblCellMar>
        </w:tblPrEx>
        <w:trPr>
          <w:trHeight w:val="270" w:hRule="atLeast"/>
        </w:trPr>
        <w:tc>
          <w:tcPr>
            <w:tcW w:w="1584" w:type="dxa"/>
            <w:tcBorders>
              <w:top w:val="nil"/>
              <w:left w:val="single" w:color="auto" w:sz="4" w:space="0"/>
              <w:bottom w:val="single" w:color="auto" w:sz="4" w:space="0"/>
              <w:right w:val="single" w:color="auto" w:sz="4" w:space="0"/>
            </w:tcBorders>
            <w:shd w:val="clear" w:color="auto" w:fill="auto"/>
            <w:vAlign w:val="bottom"/>
          </w:tcPr>
          <w:p>
            <w:pPr>
              <w:widowControl/>
              <w:jc w:val="left"/>
              <w:rPr>
                <w:rFonts w:ascii="仿宋" w:hAnsi="仿宋" w:eastAsia="仿宋" w:cs="Arial"/>
                <w:sz w:val="24"/>
              </w:rPr>
            </w:pPr>
            <w:r>
              <w:rPr>
                <w:rFonts w:hint="eastAsia" w:ascii="仿宋" w:hAnsi="仿宋" w:eastAsia="仿宋" w:cs="Arial"/>
                <w:sz w:val="24"/>
              </w:rPr>
              <w:t>　</w:t>
            </w:r>
          </w:p>
        </w:tc>
        <w:tc>
          <w:tcPr>
            <w:tcW w:w="2912" w:type="dxa"/>
            <w:tcBorders>
              <w:top w:val="nil"/>
              <w:left w:val="nil"/>
              <w:bottom w:val="single" w:color="auto" w:sz="4" w:space="0"/>
              <w:right w:val="single" w:color="auto" w:sz="4" w:space="0"/>
            </w:tcBorders>
            <w:shd w:val="clear" w:color="auto" w:fill="auto"/>
            <w:vAlign w:val="bottom"/>
          </w:tcPr>
          <w:p>
            <w:pPr>
              <w:widowControl/>
              <w:jc w:val="center"/>
              <w:rPr>
                <w:rFonts w:ascii="仿宋" w:hAnsi="仿宋" w:eastAsia="仿宋" w:cs="Arial"/>
                <w:sz w:val="24"/>
              </w:rPr>
            </w:pPr>
            <w:r>
              <w:rPr>
                <w:rFonts w:hint="eastAsia" w:ascii="仿宋" w:hAnsi="仿宋" w:eastAsia="仿宋" w:cs="Arial"/>
                <w:sz w:val="24"/>
              </w:rPr>
              <w:t>日期</w:t>
            </w:r>
          </w:p>
        </w:tc>
        <w:tc>
          <w:tcPr>
            <w:tcW w:w="3953"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 w:hAnsi="仿宋" w:eastAsia="仿宋" w:cs="Arial"/>
                <w:sz w:val="24"/>
              </w:rPr>
            </w:pPr>
            <w:r>
              <w:rPr>
                <w:rFonts w:hint="eastAsia" w:ascii="仿宋" w:hAnsi="仿宋" w:eastAsia="仿宋" w:cs="Arial"/>
                <w:sz w:val="24"/>
              </w:rPr>
              <w:t>　</w:t>
            </w:r>
          </w:p>
        </w:tc>
      </w:tr>
      <w:tr>
        <w:tblPrEx>
          <w:tblCellMar>
            <w:top w:w="0" w:type="dxa"/>
            <w:left w:w="108" w:type="dxa"/>
            <w:bottom w:w="0" w:type="dxa"/>
            <w:right w:w="108" w:type="dxa"/>
          </w:tblCellMar>
        </w:tblPrEx>
        <w:trPr>
          <w:trHeight w:val="946" w:hRule="atLeast"/>
        </w:trPr>
        <w:tc>
          <w:tcPr>
            <w:tcW w:w="1584" w:type="dxa"/>
            <w:vMerge w:val="restart"/>
            <w:tcBorders>
              <w:top w:val="nil"/>
              <w:left w:val="single" w:color="auto" w:sz="4" w:space="0"/>
              <w:right w:val="single" w:color="auto" w:sz="4" w:space="0"/>
            </w:tcBorders>
            <w:shd w:val="clear" w:color="auto" w:fill="auto"/>
            <w:vAlign w:val="bottom"/>
          </w:tcPr>
          <w:p>
            <w:pPr>
              <w:widowControl/>
              <w:jc w:val="left"/>
              <w:rPr>
                <w:rFonts w:ascii="仿宋" w:hAnsi="仿宋" w:eastAsia="仿宋" w:cs="Arial"/>
                <w:sz w:val="24"/>
              </w:rPr>
            </w:pPr>
            <w:r>
              <w:rPr>
                <w:rFonts w:hint="eastAsia" w:ascii="仿宋" w:hAnsi="仿宋" w:eastAsia="仿宋" w:cs="Arial"/>
                <w:sz w:val="24"/>
              </w:rPr>
              <w:t>　</w:t>
            </w:r>
          </w:p>
          <w:p>
            <w:pPr>
              <w:widowControl/>
              <w:jc w:val="left"/>
              <w:rPr>
                <w:rFonts w:ascii="仿宋" w:hAnsi="仿宋" w:eastAsia="仿宋" w:cs="Arial"/>
                <w:sz w:val="24"/>
              </w:rPr>
            </w:pPr>
            <w:r>
              <w:rPr>
                <w:rFonts w:hint="eastAsia" w:ascii="仿宋" w:hAnsi="仿宋" w:eastAsia="仿宋" w:cs="Arial"/>
                <w:sz w:val="24"/>
              </w:rPr>
              <w:t>　</w:t>
            </w:r>
          </w:p>
          <w:p>
            <w:pPr>
              <w:widowControl/>
              <w:jc w:val="left"/>
              <w:rPr>
                <w:rFonts w:ascii="仿宋" w:hAnsi="仿宋" w:eastAsia="仿宋" w:cs="Arial"/>
                <w:sz w:val="24"/>
              </w:rPr>
            </w:pPr>
            <w:r>
              <w:rPr>
                <w:rFonts w:hint="eastAsia" w:ascii="仿宋" w:hAnsi="仿宋" w:eastAsia="仿宋" w:cs="Arial"/>
                <w:sz w:val="24"/>
              </w:rPr>
              <w:t>　</w:t>
            </w:r>
          </w:p>
          <w:p>
            <w:pPr>
              <w:jc w:val="left"/>
              <w:rPr>
                <w:rFonts w:ascii="仿宋" w:hAnsi="仿宋" w:eastAsia="仿宋" w:cs="Arial"/>
                <w:sz w:val="24"/>
              </w:rPr>
            </w:pPr>
            <w:r>
              <w:rPr>
                <w:rFonts w:hint="eastAsia" w:ascii="仿宋" w:hAnsi="仿宋" w:eastAsia="仿宋" w:cs="Arial"/>
                <w:sz w:val="24"/>
              </w:rPr>
              <w:t>　</w:t>
            </w:r>
          </w:p>
        </w:tc>
        <w:tc>
          <w:tcPr>
            <w:tcW w:w="2912" w:type="dxa"/>
            <w:vMerge w:val="restart"/>
            <w:tcBorders>
              <w:top w:val="nil"/>
              <w:left w:val="nil"/>
              <w:right w:val="single" w:color="auto" w:sz="4" w:space="0"/>
            </w:tcBorders>
            <w:shd w:val="clear" w:color="auto" w:fill="auto"/>
            <w:vAlign w:val="center"/>
          </w:tcPr>
          <w:p>
            <w:pPr>
              <w:widowControl/>
              <w:jc w:val="center"/>
              <w:rPr>
                <w:rFonts w:ascii="仿宋" w:hAnsi="仿宋" w:eastAsia="仿宋" w:cs="Arial"/>
                <w:sz w:val="24"/>
              </w:rPr>
            </w:pPr>
          </w:p>
          <w:p>
            <w:pPr>
              <w:widowControl/>
              <w:jc w:val="center"/>
              <w:rPr>
                <w:rFonts w:ascii="仿宋" w:hAnsi="仿宋" w:eastAsia="仿宋" w:cs="Arial"/>
                <w:sz w:val="24"/>
              </w:rPr>
            </w:pPr>
            <w:r>
              <w:rPr>
                <w:rFonts w:hint="eastAsia" w:ascii="仿宋" w:hAnsi="仿宋" w:eastAsia="仿宋" w:cs="Arial"/>
                <w:sz w:val="24"/>
              </w:rPr>
              <w:t>签章</w:t>
            </w:r>
          </w:p>
        </w:tc>
        <w:tc>
          <w:tcPr>
            <w:tcW w:w="3953" w:type="dxa"/>
            <w:gridSpan w:val="3"/>
            <w:tcBorders>
              <w:top w:val="nil"/>
              <w:left w:val="nil"/>
              <w:right w:val="single" w:color="auto" w:sz="4" w:space="0"/>
            </w:tcBorders>
            <w:shd w:val="clear" w:color="auto" w:fill="auto"/>
            <w:vAlign w:val="bottom"/>
          </w:tcPr>
          <w:p>
            <w:pPr>
              <w:widowControl/>
              <w:jc w:val="left"/>
              <w:rPr>
                <w:rFonts w:ascii="仿宋" w:hAnsi="仿宋" w:eastAsia="仿宋" w:cs="Arial"/>
                <w:sz w:val="24"/>
              </w:rPr>
            </w:pPr>
            <w:r>
              <w:rPr>
                <w:rFonts w:hint="eastAsia" w:ascii="仿宋" w:hAnsi="仿宋" w:eastAsia="仿宋" w:cs="Arial"/>
                <w:sz w:val="24"/>
              </w:rPr>
              <w:t>　</w:t>
            </w:r>
          </w:p>
          <w:p>
            <w:pPr>
              <w:widowControl/>
              <w:jc w:val="left"/>
              <w:rPr>
                <w:rFonts w:ascii="仿宋" w:hAnsi="仿宋" w:eastAsia="仿宋" w:cs="Arial"/>
                <w:sz w:val="24"/>
              </w:rPr>
            </w:pPr>
          </w:p>
          <w:p>
            <w:pPr>
              <w:jc w:val="left"/>
              <w:rPr>
                <w:rFonts w:ascii="仿宋" w:hAnsi="仿宋" w:eastAsia="仿宋" w:cs="Arial"/>
                <w:sz w:val="24"/>
              </w:rPr>
            </w:pPr>
            <w:r>
              <w:rPr>
                <w:rFonts w:hint="eastAsia" w:ascii="仿宋" w:hAnsi="仿宋" w:eastAsia="仿宋" w:cs="Arial"/>
                <w:sz w:val="24"/>
              </w:rPr>
              <w:t>　</w:t>
            </w:r>
          </w:p>
        </w:tc>
      </w:tr>
      <w:tr>
        <w:tblPrEx>
          <w:tblCellMar>
            <w:top w:w="0" w:type="dxa"/>
            <w:left w:w="108" w:type="dxa"/>
            <w:bottom w:w="0" w:type="dxa"/>
            <w:right w:w="108" w:type="dxa"/>
          </w:tblCellMar>
        </w:tblPrEx>
        <w:trPr>
          <w:trHeight w:val="270" w:hRule="atLeast"/>
        </w:trPr>
        <w:tc>
          <w:tcPr>
            <w:tcW w:w="1584" w:type="dxa"/>
            <w:vMerge w:val="continue"/>
            <w:tcBorders>
              <w:left w:val="single" w:color="auto" w:sz="4" w:space="0"/>
              <w:bottom w:val="single" w:color="auto" w:sz="4" w:space="0"/>
              <w:right w:val="single" w:color="auto" w:sz="4" w:space="0"/>
            </w:tcBorders>
            <w:shd w:val="clear" w:color="auto" w:fill="auto"/>
            <w:vAlign w:val="bottom"/>
          </w:tcPr>
          <w:p>
            <w:pPr>
              <w:widowControl/>
              <w:jc w:val="left"/>
              <w:rPr>
                <w:rFonts w:ascii="仿宋" w:hAnsi="仿宋" w:eastAsia="仿宋" w:cs="Arial"/>
                <w:sz w:val="24"/>
              </w:rPr>
            </w:pPr>
          </w:p>
        </w:tc>
        <w:tc>
          <w:tcPr>
            <w:tcW w:w="2912" w:type="dxa"/>
            <w:vMerge w:val="continue"/>
            <w:tcBorders>
              <w:left w:val="nil"/>
              <w:bottom w:val="single" w:color="auto" w:sz="4" w:space="0"/>
              <w:right w:val="single" w:color="auto" w:sz="4" w:space="0"/>
            </w:tcBorders>
            <w:shd w:val="clear" w:color="auto" w:fill="auto"/>
            <w:vAlign w:val="bottom"/>
          </w:tcPr>
          <w:p>
            <w:pPr>
              <w:widowControl/>
              <w:jc w:val="left"/>
              <w:rPr>
                <w:rFonts w:ascii="仿宋" w:hAnsi="仿宋" w:eastAsia="仿宋" w:cs="Arial"/>
                <w:sz w:val="24"/>
              </w:rPr>
            </w:pPr>
          </w:p>
        </w:tc>
        <w:tc>
          <w:tcPr>
            <w:tcW w:w="3953" w:type="dxa"/>
            <w:gridSpan w:val="3"/>
            <w:tcBorders>
              <w:top w:val="nil"/>
              <w:left w:val="nil"/>
              <w:bottom w:val="single" w:color="auto" w:sz="4" w:space="0"/>
              <w:right w:val="single" w:color="auto" w:sz="4" w:space="0"/>
            </w:tcBorders>
            <w:shd w:val="clear" w:color="auto" w:fill="auto"/>
            <w:vAlign w:val="bottom"/>
          </w:tcPr>
          <w:p>
            <w:pPr>
              <w:widowControl/>
              <w:jc w:val="left"/>
              <w:rPr>
                <w:rFonts w:ascii="仿宋" w:hAnsi="仿宋" w:eastAsia="仿宋" w:cs="Arial"/>
                <w:sz w:val="24"/>
              </w:rPr>
            </w:pPr>
          </w:p>
        </w:tc>
      </w:tr>
    </w:tbl>
    <w:p>
      <w:pPr>
        <w:rPr>
          <w:rFonts w:ascii="仿宋" w:hAnsi="仿宋" w:eastAsia="仿宋" w:cs="Arial"/>
          <w:b/>
          <w:sz w:val="28"/>
        </w:rPr>
      </w:pPr>
    </w:p>
    <w:p>
      <w:pPr>
        <w:widowControl/>
        <w:jc w:val="left"/>
        <w:rPr>
          <w:rFonts w:ascii="仿宋" w:hAnsi="仿宋" w:eastAsia="仿宋" w:cs="Arial"/>
          <w:b/>
          <w:sz w:val="28"/>
        </w:rPr>
      </w:pPr>
      <w:r>
        <w:rPr>
          <w:rFonts w:hint="eastAsia" w:ascii="仿宋" w:hAnsi="仿宋" w:eastAsia="仿宋" w:cs="Arial"/>
          <w:b/>
          <w:sz w:val="28"/>
        </w:rPr>
        <w:t>附件四： 材料收集地址及汇款账号</w:t>
      </w:r>
    </w:p>
    <w:tbl>
      <w:tblPr>
        <w:tblStyle w:val="10"/>
        <w:tblW w:w="10207"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shd w:val="clear" w:color="auto" w:fill="F1F1F1" w:themeFill="background1" w:themeFillShade="F2"/>
          </w:tcPr>
          <w:p>
            <w:pPr>
              <w:spacing w:line="360" w:lineRule="auto"/>
              <w:rPr>
                <w:rFonts w:ascii="仿宋" w:hAnsi="仿宋" w:eastAsia="仿宋"/>
                <w:sz w:val="24"/>
                <w:szCs w:val="24"/>
              </w:rPr>
            </w:pPr>
            <w:r>
              <w:rPr>
                <w:rFonts w:ascii="仿宋" w:hAnsi="仿宋" w:eastAsia="仿宋" w:cs="Arial"/>
                <w:sz w:val="24"/>
                <w:szCs w:val="24"/>
              </w:rPr>
              <w:t>电子版材料收集</w:t>
            </w:r>
            <w:r>
              <w:rPr>
                <w:rFonts w:hint="eastAsia" w:ascii="仿宋" w:hAnsi="仿宋" w:eastAsia="仿宋" w:cs="Arial"/>
                <w:sz w:val="24"/>
                <w:szCs w:val="24"/>
              </w:rPr>
              <w:t>邮箱</w:t>
            </w:r>
          </w:p>
        </w:tc>
        <w:tc>
          <w:tcPr>
            <w:tcW w:w="7796" w:type="dxa"/>
          </w:tcPr>
          <w:p>
            <w:pPr>
              <w:spacing w:line="360" w:lineRule="auto"/>
              <w:rPr>
                <w:rFonts w:ascii="仿宋" w:hAnsi="仿宋" w:eastAsia="仿宋"/>
                <w:sz w:val="24"/>
                <w:szCs w:val="24"/>
              </w:rPr>
            </w:pPr>
            <w:r>
              <w:rPr>
                <w:rFonts w:hint="eastAsia" w:ascii="仿宋" w:hAnsi="仿宋" w:eastAsia="仿宋"/>
                <w:sz w:val="24"/>
                <w:szCs w:val="24"/>
              </w:rPr>
              <w:t>a</w:t>
            </w:r>
            <w:r>
              <w:rPr>
                <w:rFonts w:ascii="仿宋" w:hAnsi="仿宋" w:eastAsia="仿宋"/>
                <w:sz w:val="24"/>
                <w:szCs w:val="24"/>
              </w:rPr>
              <w:t>dring@migu.cn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shd w:val="clear" w:color="auto" w:fill="F1F1F1" w:themeFill="background1" w:themeFillShade="F2"/>
          </w:tcPr>
          <w:p>
            <w:pPr>
              <w:spacing w:line="360" w:lineRule="auto"/>
              <w:rPr>
                <w:rFonts w:ascii="仿宋" w:hAnsi="仿宋" w:eastAsia="仿宋"/>
                <w:sz w:val="24"/>
                <w:szCs w:val="24"/>
              </w:rPr>
            </w:pPr>
            <w:r>
              <w:rPr>
                <w:rFonts w:hint="eastAsia" w:ascii="仿宋" w:hAnsi="仿宋" w:eastAsia="仿宋" w:cs="Arial"/>
                <w:sz w:val="24"/>
                <w:szCs w:val="24"/>
              </w:rPr>
              <w:t>纸质版</w:t>
            </w:r>
            <w:r>
              <w:rPr>
                <w:rFonts w:ascii="仿宋" w:hAnsi="仿宋" w:eastAsia="仿宋" w:cs="Arial"/>
                <w:sz w:val="24"/>
                <w:szCs w:val="24"/>
              </w:rPr>
              <w:t>材料收集地址</w:t>
            </w:r>
          </w:p>
        </w:tc>
        <w:tc>
          <w:tcPr>
            <w:tcW w:w="7796" w:type="dxa"/>
          </w:tcPr>
          <w:p>
            <w:pPr>
              <w:spacing w:line="360" w:lineRule="auto"/>
              <w:rPr>
                <w:rFonts w:ascii="仿宋" w:hAnsi="仿宋" w:eastAsia="仿宋" w:cs="Arial"/>
                <w:sz w:val="24"/>
                <w:szCs w:val="24"/>
              </w:rPr>
            </w:pPr>
            <w:r>
              <w:rPr>
                <w:rFonts w:ascii="仿宋" w:hAnsi="仿宋" w:eastAsia="仿宋" w:cs="Arial"/>
                <w:sz w:val="24"/>
                <w:szCs w:val="24"/>
              </w:rPr>
              <w:t>四川省成都市高新区交子大道</w:t>
            </w:r>
            <w:r>
              <w:rPr>
                <w:rFonts w:hint="eastAsia" w:ascii="仿宋" w:hAnsi="仿宋" w:eastAsia="仿宋" w:cs="Arial"/>
                <w:sz w:val="24"/>
                <w:szCs w:val="24"/>
              </w:rPr>
              <w:t>575号中海国际J座咪咕音乐8楼5</w:t>
            </w:r>
            <w:r>
              <w:rPr>
                <w:rFonts w:ascii="仿宋" w:hAnsi="仿宋" w:eastAsia="仿宋" w:cs="Arial"/>
                <w:sz w:val="24"/>
                <w:szCs w:val="24"/>
              </w:rPr>
              <w:t>G</w:t>
            </w:r>
            <w:r>
              <w:rPr>
                <w:rFonts w:hint="eastAsia" w:ascii="仿宋" w:hAnsi="仿宋" w:eastAsia="仿宋" w:cs="Arial"/>
                <w:sz w:val="24"/>
                <w:szCs w:val="24"/>
              </w:rPr>
              <w:t>彩铃事业部</w:t>
            </w:r>
            <w:r>
              <w:rPr>
                <w:rFonts w:ascii="仿宋" w:hAnsi="仿宋" w:eastAsia="仿宋" w:cs="Arial"/>
                <w:sz w:val="24"/>
                <w:szCs w:val="24"/>
              </w:rPr>
              <w:t xml:space="preserve">  </w:t>
            </w:r>
            <w:r>
              <w:rPr>
                <w:rFonts w:hint="eastAsia" w:ascii="仿宋" w:hAnsi="仿宋" w:eastAsia="仿宋" w:cs="Arial"/>
                <w:sz w:val="24"/>
                <w:szCs w:val="24"/>
              </w:rPr>
              <w:t>吴雨潇（</w:t>
            </w:r>
            <w:r>
              <w:rPr>
                <w:rFonts w:ascii="仿宋" w:hAnsi="仿宋" w:eastAsia="仿宋" w:cs="Arial"/>
                <w:sz w:val="24"/>
                <w:szCs w:val="24"/>
              </w:rPr>
              <w:t>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shd w:val="clear" w:color="auto" w:fill="F1F1F1" w:themeFill="background1" w:themeFillShade="F2"/>
          </w:tcPr>
          <w:p>
            <w:pPr>
              <w:spacing w:line="360" w:lineRule="auto"/>
              <w:rPr>
                <w:rFonts w:ascii="仿宋" w:hAnsi="仿宋" w:eastAsia="仿宋" w:cs="Arial"/>
                <w:sz w:val="24"/>
                <w:szCs w:val="24"/>
              </w:rPr>
            </w:pPr>
            <w:r>
              <w:rPr>
                <w:rFonts w:ascii="仿宋" w:hAnsi="仿宋" w:eastAsia="仿宋" w:cs="Arial"/>
                <w:sz w:val="24"/>
                <w:szCs w:val="24"/>
              </w:rPr>
              <w:t>汇款账号</w:t>
            </w:r>
          </w:p>
        </w:tc>
        <w:tc>
          <w:tcPr>
            <w:tcW w:w="7796" w:type="dxa"/>
          </w:tcPr>
          <w:p>
            <w:pPr>
              <w:spacing w:line="360" w:lineRule="auto"/>
              <w:jc w:val="left"/>
              <w:rPr>
                <w:rFonts w:ascii="仿宋" w:hAnsi="仿宋" w:eastAsia="仿宋" w:cs="Arial"/>
                <w:sz w:val="24"/>
                <w:szCs w:val="24"/>
              </w:rPr>
            </w:pPr>
            <w:r>
              <w:rPr>
                <w:rFonts w:hint="eastAsia" w:ascii="仿宋" w:hAnsi="仿宋" w:eastAsia="仿宋" w:cs="Arial"/>
                <w:sz w:val="24"/>
                <w:szCs w:val="24"/>
              </w:rPr>
              <w:t>咪咕音乐有限公司账号：</w:t>
            </w:r>
          </w:p>
          <w:p>
            <w:pPr>
              <w:spacing w:line="360" w:lineRule="auto"/>
              <w:jc w:val="left"/>
              <w:rPr>
                <w:rFonts w:ascii="仿宋" w:hAnsi="仿宋" w:eastAsia="仿宋" w:cs="Arial"/>
                <w:sz w:val="24"/>
                <w:szCs w:val="24"/>
              </w:rPr>
            </w:pPr>
            <w:r>
              <w:rPr>
                <w:rFonts w:hint="eastAsia" w:ascii="仿宋" w:hAnsi="仿宋" w:eastAsia="仿宋" w:cs="Arial"/>
                <w:sz w:val="24"/>
                <w:szCs w:val="24"/>
              </w:rPr>
              <w:t xml:space="preserve">账号：51001880836059000066 </w:t>
            </w:r>
          </w:p>
          <w:p>
            <w:pPr>
              <w:spacing w:line="360" w:lineRule="auto"/>
              <w:jc w:val="left"/>
              <w:rPr>
                <w:rFonts w:ascii="仿宋" w:hAnsi="仿宋" w:eastAsia="仿宋" w:cs="Arial"/>
                <w:sz w:val="24"/>
                <w:szCs w:val="24"/>
              </w:rPr>
            </w:pPr>
            <w:r>
              <w:rPr>
                <w:rFonts w:hint="eastAsia" w:ascii="仿宋" w:hAnsi="仿宋" w:eastAsia="仿宋" w:cs="Arial"/>
                <w:sz w:val="24"/>
                <w:szCs w:val="24"/>
              </w:rPr>
              <w:t>户名：咪咕音乐有限公司</w:t>
            </w:r>
          </w:p>
          <w:p>
            <w:pPr>
              <w:spacing w:line="360" w:lineRule="auto"/>
              <w:jc w:val="left"/>
              <w:rPr>
                <w:rFonts w:ascii="仿宋" w:hAnsi="仿宋" w:eastAsia="仿宋" w:cs="Arial"/>
                <w:sz w:val="24"/>
                <w:szCs w:val="24"/>
              </w:rPr>
            </w:pPr>
            <w:r>
              <w:rPr>
                <w:rFonts w:hint="eastAsia" w:ascii="仿宋" w:hAnsi="仿宋" w:eastAsia="仿宋" w:cs="Arial"/>
                <w:sz w:val="24"/>
                <w:szCs w:val="24"/>
              </w:rPr>
              <w:t>开户行：中国建设银行成都铁道支行</w:t>
            </w:r>
          </w:p>
        </w:tc>
      </w:tr>
    </w:tbl>
    <w:p>
      <w:pPr>
        <w:rPr>
          <w:rFonts w:asciiTheme="minorEastAsia" w:hAnsiTheme="minorEastAsia"/>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5437295"/>
      <w:docPartObj>
        <w:docPartGallery w:val="AutoText"/>
      </w:docPartObj>
    </w:sdtPr>
    <w:sdtContent>
      <w:sdt>
        <w:sdtPr>
          <w:id w:val="-1769616900"/>
          <w:docPartObj>
            <w:docPartGallery w:val="AutoText"/>
          </w:docPartObj>
        </w:sdtPr>
        <w:sdtContent>
          <w:p>
            <w:pPr>
              <w:pStyle w:val="6"/>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pPr>
    <w:r>
      <w:rPr>
        <w:rFonts w:asciiTheme="minorEastAsia" w:hAnsiTheme="minorEastAsia"/>
        <w:b/>
      </w:rPr>
      <w:tab/>
    </w:r>
    <w:r>
      <w:rPr>
        <w:rFonts w:hint="eastAsia" w:asciiTheme="minorEastAsia" w:hAnsiTheme="minorEastAsia"/>
        <w:b/>
      </w:rPr>
      <w:t>广告</w:t>
    </w:r>
    <w:r>
      <w:rPr>
        <w:rFonts w:asciiTheme="minorEastAsia" w:hAnsiTheme="minorEastAsia"/>
        <w:b/>
      </w:rPr>
      <w:t>彩铃</w:t>
    </w:r>
    <w:r>
      <w:rPr>
        <w:rFonts w:hint="eastAsia" w:asciiTheme="minorEastAsia" w:hAnsiTheme="minorEastAsia"/>
        <w:b/>
      </w:rPr>
      <w:t>媒体方合作伙伴引入</w:t>
    </w:r>
    <w:r>
      <w:rPr>
        <w:rFonts w:asciiTheme="minorEastAsia" w:hAnsiTheme="minorEastAsia"/>
        <w:b/>
      </w:rPr>
      <w:t>方案</w:t>
    </w:r>
    <w:r>
      <w:rPr>
        <w:rFonts w:asciiTheme="minorEastAsia" w:hAnsiTheme="minorEastAsia"/>
        <w:b/>
      </w:rPr>
      <w:tab/>
    </w:r>
  </w:p>
  <w:p>
    <w:pPr>
      <w:tabs>
        <w:tab w:val="center" w:pos="4153"/>
        <w:tab w:val="left" w:pos="6240"/>
      </w:tabs>
      <w:jc w:val="left"/>
      <w:rPr>
        <w:rFonts w:asciiTheme="minorEastAsia" w:hAnsiTheme="minorEastAsia"/>
        <w:b/>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D20E03"/>
    <w:multiLevelType w:val="multilevel"/>
    <w:tmpl w:val="01D20E0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AEE02C4"/>
    <w:multiLevelType w:val="multilevel"/>
    <w:tmpl w:val="3AEE02C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0AA"/>
    <w:rsid w:val="000031CF"/>
    <w:rsid w:val="00005155"/>
    <w:rsid w:val="00005E15"/>
    <w:rsid w:val="00016FAF"/>
    <w:rsid w:val="000209D3"/>
    <w:rsid w:val="0002136A"/>
    <w:rsid w:val="00023CEC"/>
    <w:rsid w:val="000263F5"/>
    <w:rsid w:val="000309F8"/>
    <w:rsid w:val="000419BD"/>
    <w:rsid w:val="00044A10"/>
    <w:rsid w:val="00045EC2"/>
    <w:rsid w:val="00047DC6"/>
    <w:rsid w:val="00050454"/>
    <w:rsid w:val="00053EFA"/>
    <w:rsid w:val="0005698B"/>
    <w:rsid w:val="00064E8A"/>
    <w:rsid w:val="00071741"/>
    <w:rsid w:val="000731F8"/>
    <w:rsid w:val="00073680"/>
    <w:rsid w:val="000738DA"/>
    <w:rsid w:val="00074353"/>
    <w:rsid w:val="00074C4B"/>
    <w:rsid w:val="00075462"/>
    <w:rsid w:val="000808AE"/>
    <w:rsid w:val="00080CF3"/>
    <w:rsid w:val="00083116"/>
    <w:rsid w:val="00084EFE"/>
    <w:rsid w:val="0008572C"/>
    <w:rsid w:val="00091E4D"/>
    <w:rsid w:val="0009456E"/>
    <w:rsid w:val="0009685E"/>
    <w:rsid w:val="000969C2"/>
    <w:rsid w:val="0009728C"/>
    <w:rsid w:val="000B4BE7"/>
    <w:rsid w:val="000B56EE"/>
    <w:rsid w:val="000D3657"/>
    <w:rsid w:val="000D454B"/>
    <w:rsid w:val="000D6303"/>
    <w:rsid w:val="000D711E"/>
    <w:rsid w:val="000E1D9D"/>
    <w:rsid w:val="000F6884"/>
    <w:rsid w:val="001010C4"/>
    <w:rsid w:val="00111D7A"/>
    <w:rsid w:val="00112483"/>
    <w:rsid w:val="0011749E"/>
    <w:rsid w:val="001176D5"/>
    <w:rsid w:val="00126D3E"/>
    <w:rsid w:val="0013049F"/>
    <w:rsid w:val="00132A52"/>
    <w:rsid w:val="001338B1"/>
    <w:rsid w:val="00134DC3"/>
    <w:rsid w:val="001355A9"/>
    <w:rsid w:val="00135A21"/>
    <w:rsid w:val="00141882"/>
    <w:rsid w:val="00144A7D"/>
    <w:rsid w:val="001454B2"/>
    <w:rsid w:val="0016018C"/>
    <w:rsid w:val="001608A9"/>
    <w:rsid w:val="00162C58"/>
    <w:rsid w:val="00164ECB"/>
    <w:rsid w:val="00171FB3"/>
    <w:rsid w:val="00172586"/>
    <w:rsid w:val="0017425B"/>
    <w:rsid w:val="001861EA"/>
    <w:rsid w:val="001A2F8F"/>
    <w:rsid w:val="001B351F"/>
    <w:rsid w:val="001C238A"/>
    <w:rsid w:val="001C2F55"/>
    <w:rsid w:val="001C41DE"/>
    <w:rsid w:val="001C561B"/>
    <w:rsid w:val="001D3B84"/>
    <w:rsid w:val="001D48A4"/>
    <w:rsid w:val="001E07EF"/>
    <w:rsid w:val="001E4D25"/>
    <w:rsid w:val="001E5169"/>
    <w:rsid w:val="001F30DC"/>
    <w:rsid w:val="001F3A83"/>
    <w:rsid w:val="001F473B"/>
    <w:rsid w:val="001F48A0"/>
    <w:rsid w:val="001F6C50"/>
    <w:rsid w:val="002030CB"/>
    <w:rsid w:val="00215905"/>
    <w:rsid w:val="002201A9"/>
    <w:rsid w:val="0022217B"/>
    <w:rsid w:val="002248A4"/>
    <w:rsid w:val="00232110"/>
    <w:rsid w:val="00232F9D"/>
    <w:rsid w:val="0023595B"/>
    <w:rsid w:val="002371A0"/>
    <w:rsid w:val="002378D5"/>
    <w:rsid w:val="002379C0"/>
    <w:rsid w:val="00241D56"/>
    <w:rsid w:val="00244650"/>
    <w:rsid w:val="00250EBD"/>
    <w:rsid w:val="002514A3"/>
    <w:rsid w:val="00251C33"/>
    <w:rsid w:val="00252597"/>
    <w:rsid w:val="0026143A"/>
    <w:rsid w:val="00263237"/>
    <w:rsid w:val="00270EB3"/>
    <w:rsid w:val="002712BC"/>
    <w:rsid w:val="00273D88"/>
    <w:rsid w:val="0027545C"/>
    <w:rsid w:val="00275907"/>
    <w:rsid w:val="0027707E"/>
    <w:rsid w:val="0027767F"/>
    <w:rsid w:val="00291FD2"/>
    <w:rsid w:val="002963F1"/>
    <w:rsid w:val="002A2BC2"/>
    <w:rsid w:val="002B5A2C"/>
    <w:rsid w:val="002B7AE4"/>
    <w:rsid w:val="002C03E0"/>
    <w:rsid w:val="002C107F"/>
    <w:rsid w:val="002C47F8"/>
    <w:rsid w:val="002C7404"/>
    <w:rsid w:val="002D090B"/>
    <w:rsid w:val="002D2178"/>
    <w:rsid w:val="002D40C7"/>
    <w:rsid w:val="002D42CD"/>
    <w:rsid w:val="002D5B80"/>
    <w:rsid w:val="002D74EF"/>
    <w:rsid w:val="002D77E9"/>
    <w:rsid w:val="002E1028"/>
    <w:rsid w:val="002E17FA"/>
    <w:rsid w:val="002E1D8B"/>
    <w:rsid w:val="002E4B55"/>
    <w:rsid w:val="002E74EA"/>
    <w:rsid w:val="002F00DB"/>
    <w:rsid w:val="002F2C56"/>
    <w:rsid w:val="002F7145"/>
    <w:rsid w:val="003024DA"/>
    <w:rsid w:val="003077F6"/>
    <w:rsid w:val="003078C3"/>
    <w:rsid w:val="0031247D"/>
    <w:rsid w:val="00323565"/>
    <w:rsid w:val="003248AE"/>
    <w:rsid w:val="00325B8F"/>
    <w:rsid w:val="00331AB6"/>
    <w:rsid w:val="00333F0D"/>
    <w:rsid w:val="0033519F"/>
    <w:rsid w:val="00335DDA"/>
    <w:rsid w:val="003402E1"/>
    <w:rsid w:val="00352206"/>
    <w:rsid w:val="003534D8"/>
    <w:rsid w:val="0035411E"/>
    <w:rsid w:val="00356306"/>
    <w:rsid w:val="00362C15"/>
    <w:rsid w:val="00367F54"/>
    <w:rsid w:val="00370978"/>
    <w:rsid w:val="00380E8A"/>
    <w:rsid w:val="003810E6"/>
    <w:rsid w:val="00383125"/>
    <w:rsid w:val="00386D55"/>
    <w:rsid w:val="00387A4F"/>
    <w:rsid w:val="00392514"/>
    <w:rsid w:val="00392CDA"/>
    <w:rsid w:val="00395EE2"/>
    <w:rsid w:val="003B2450"/>
    <w:rsid w:val="003B6822"/>
    <w:rsid w:val="003C01DB"/>
    <w:rsid w:val="003C0E1B"/>
    <w:rsid w:val="003C461C"/>
    <w:rsid w:val="003C6BE2"/>
    <w:rsid w:val="003C70DB"/>
    <w:rsid w:val="003C79D3"/>
    <w:rsid w:val="003D3217"/>
    <w:rsid w:val="003D50C1"/>
    <w:rsid w:val="003E1C7E"/>
    <w:rsid w:val="003E207C"/>
    <w:rsid w:val="003E7AAA"/>
    <w:rsid w:val="003F0795"/>
    <w:rsid w:val="003F0D34"/>
    <w:rsid w:val="003F2A3D"/>
    <w:rsid w:val="003F3061"/>
    <w:rsid w:val="00401F1C"/>
    <w:rsid w:val="004030FC"/>
    <w:rsid w:val="004058E1"/>
    <w:rsid w:val="0041071C"/>
    <w:rsid w:val="00411940"/>
    <w:rsid w:val="00411AB3"/>
    <w:rsid w:val="00424D66"/>
    <w:rsid w:val="00430FD2"/>
    <w:rsid w:val="00435E9B"/>
    <w:rsid w:val="00436C90"/>
    <w:rsid w:val="00437842"/>
    <w:rsid w:val="00440504"/>
    <w:rsid w:val="00444399"/>
    <w:rsid w:val="0044730E"/>
    <w:rsid w:val="00451B50"/>
    <w:rsid w:val="00460809"/>
    <w:rsid w:val="004630FA"/>
    <w:rsid w:val="0046777F"/>
    <w:rsid w:val="0047406B"/>
    <w:rsid w:val="004765A0"/>
    <w:rsid w:val="00483E12"/>
    <w:rsid w:val="00485108"/>
    <w:rsid w:val="00494195"/>
    <w:rsid w:val="00495928"/>
    <w:rsid w:val="00496A93"/>
    <w:rsid w:val="004A19BF"/>
    <w:rsid w:val="004A3E93"/>
    <w:rsid w:val="004A4989"/>
    <w:rsid w:val="004B1381"/>
    <w:rsid w:val="004B1A2F"/>
    <w:rsid w:val="004B4F3E"/>
    <w:rsid w:val="004D3AF2"/>
    <w:rsid w:val="004F5A49"/>
    <w:rsid w:val="004F5C0E"/>
    <w:rsid w:val="005060BF"/>
    <w:rsid w:val="00506D55"/>
    <w:rsid w:val="005101BC"/>
    <w:rsid w:val="005129D0"/>
    <w:rsid w:val="00513456"/>
    <w:rsid w:val="00520A3F"/>
    <w:rsid w:val="0053217D"/>
    <w:rsid w:val="005415BA"/>
    <w:rsid w:val="00542D14"/>
    <w:rsid w:val="005432BD"/>
    <w:rsid w:val="00543B04"/>
    <w:rsid w:val="00543D3A"/>
    <w:rsid w:val="005445E4"/>
    <w:rsid w:val="00552CF1"/>
    <w:rsid w:val="00554EE9"/>
    <w:rsid w:val="00570EF1"/>
    <w:rsid w:val="00572CF7"/>
    <w:rsid w:val="00573E75"/>
    <w:rsid w:val="00574788"/>
    <w:rsid w:val="005777F7"/>
    <w:rsid w:val="00580DB8"/>
    <w:rsid w:val="00581C5E"/>
    <w:rsid w:val="00582C90"/>
    <w:rsid w:val="00592647"/>
    <w:rsid w:val="00593800"/>
    <w:rsid w:val="00593FE3"/>
    <w:rsid w:val="005A0B2A"/>
    <w:rsid w:val="005B1948"/>
    <w:rsid w:val="005C03C7"/>
    <w:rsid w:val="005C061B"/>
    <w:rsid w:val="005C11BB"/>
    <w:rsid w:val="005C24A6"/>
    <w:rsid w:val="005C408C"/>
    <w:rsid w:val="005D2AD0"/>
    <w:rsid w:val="005D79CB"/>
    <w:rsid w:val="005E23CC"/>
    <w:rsid w:val="005E3309"/>
    <w:rsid w:val="005E6DF3"/>
    <w:rsid w:val="005F2922"/>
    <w:rsid w:val="00601DFE"/>
    <w:rsid w:val="00612467"/>
    <w:rsid w:val="0061674A"/>
    <w:rsid w:val="00620250"/>
    <w:rsid w:val="00620C8E"/>
    <w:rsid w:val="00623C2A"/>
    <w:rsid w:val="00650DFE"/>
    <w:rsid w:val="006517C5"/>
    <w:rsid w:val="0066708F"/>
    <w:rsid w:val="006718B6"/>
    <w:rsid w:val="00672A30"/>
    <w:rsid w:val="00680E60"/>
    <w:rsid w:val="006953B2"/>
    <w:rsid w:val="006954E2"/>
    <w:rsid w:val="006A722B"/>
    <w:rsid w:val="006B2D9A"/>
    <w:rsid w:val="006B7E01"/>
    <w:rsid w:val="006C4A46"/>
    <w:rsid w:val="006D165B"/>
    <w:rsid w:val="006D3178"/>
    <w:rsid w:val="006D4498"/>
    <w:rsid w:val="006D45B3"/>
    <w:rsid w:val="006E0B10"/>
    <w:rsid w:val="006E160E"/>
    <w:rsid w:val="006F0365"/>
    <w:rsid w:val="006F446A"/>
    <w:rsid w:val="006F77BD"/>
    <w:rsid w:val="00707384"/>
    <w:rsid w:val="00713E51"/>
    <w:rsid w:val="00717742"/>
    <w:rsid w:val="00720C6F"/>
    <w:rsid w:val="00720FCA"/>
    <w:rsid w:val="00722201"/>
    <w:rsid w:val="00727D98"/>
    <w:rsid w:val="007412FE"/>
    <w:rsid w:val="00752331"/>
    <w:rsid w:val="00752623"/>
    <w:rsid w:val="00752EB4"/>
    <w:rsid w:val="00753613"/>
    <w:rsid w:val="00762054"/>
    <w:rsid w:val="007620D1"/>
    <w:rsid w:val="007634A3"/>
    <w:rsid w:val="00763A23"/>
    <w:rsid w:val="00764D0C"/>
    <w:rsid w:val="00772EE7"/>
    <w:rsid w:val="0078016C"/>
    <w:rsid w:val="007828EC"/>
    <w:rsid w:val="00790416"/>
    <w:rsid w:val="007931F3"/>
    <w:rsid w:val="0079328F"/>
    <w:rsid w:val="00794BB8"/>
    <w:rsid w:val="007A0B8E"/>
    <w:rsid w:val="007A4C2E"/>
    <w:rsid w:val="007A4C75"/>
    <w:rsid w:val="007A7242"/>
    <w:rsid w:val="007B00F6"/>
    <w:rsid w:val="007B0234"/>
    <w:rsid w:val="007B6115"/>
    <w:rsid w:val="007C1C20"/>
    <w:rsid w:val="007D0C17"/>
    <w:rsid w:val="007D23B5"/>
    <w:rsid w:val="007D2580"/>
    <w:rsid w:val="007D3CDA"/>
    <w:rsid w:val="007D41A9"/>
    <w:rsid w:val="007D7C46"/>
    <w:rsid w:val="007D7E1D"/>
    <w:rsid w:val="007E6D0A"/>
    <w:rsid w:val="007E783D"/>
    <w:rsid w:val="007F2770"/>
    <w:rsid w:val="007F3A4F"/>
    <w:rsid w:val="007F4E37"/>
    <w:rsid w:val="007F607F"/>
    <w:rsid w:val="0080486F"/>
    <w:rsid w:val="00807B62"/>
    <w:rsid w:val="00815629"/>
    <w:rsid w:val="00815F7F"/>
    <w:rsid w:val="008204E3"/>
    <w:rsid w:val="008210D3"/>
    <w:rsid w:val="0082150A"/>
    <w:rsid w:val="0082230C"/>
    <w:rsid w:val="008248A0"/>
    <w:rsid w:val="00825AE0"/>
    <w:rsid w:val="00830BC7"/>
    <w:rsid w:val="0083574F"/>
    <w:rsid w:val="008369A2"/>
    <w:rsid w:val="0084010C"/>
    <w:rsid w:val="00842105"/>
    <w:rsid w:val="00844341"/>
    <w:rsid w:val="00844C8E"/>
    <w:rsid w:val="0084519B"/>
    <w:rsid w:val="00845E75"/>
    <w:rsid w:val="00855497"/>
    <w:rsid w:val="0085599D"/>
    <w:rsid w:val="00860C17"/>
    <w:rsid w:val="00860E49"/>
    <w:rsid w:val="0086621F"/>
    <w:rsid w:val="00866EFD"/>
    <w:rsid w:val="008731E7"/>
    <w:rsid w:val="00874B2C"/>
    <w:rsid w:val="0087537E"/>
    <w:rsid w:val="00876543"/>
    <w:rsid w:val="00877698"/>
    <w:rsid w:val="00877B9C"/>
    <w:rsid w:val="00880526"/>
    <w:rsid w:val="00887698"/>
    <w:rsid w:val="00887C7B"/>
    <w:rsid w:val="0089040C"/>
    <w:rsid w:val="00894BD4"/>
    <w:rsid w:val="008A1AFF"/>
    <w:rsid w:val="008A321A"/>
    <w:rsid w:val="008B09B3"/>
    <w:rsid w:val="008B7DBC"/>
    <w:rsid w:val="008C32C1"/>
    <w:rsid w:val="008C3628"/>
    <w:rsid w:val="008E042F"/>
    <w:rsid w:val="008F1097"/>
    <w:rsid w:val="008F5F1F"/>
    <w:rsid w:val="008F7478"/>
    <w:rsid w:val="00902F88"/>
    <w:rsid w:val="009061F0"/>
    <w:rsid w:val="00906239"/>
    <w:rsid w:val="009130BA"/>
    <w:rsid w:val="009156EF"/>
    <w:rsid w:val="009168E2"/>
    <w:rsid w:val="009169AA"/>
    <w:rsid w:val="00920F99"/>
    <w:rsid w:val="00924EE5"/>
    <w:rsid w:val="00931588"/>
    <w:rsid w:val="00931C04"/>
    <w:rsid w:val="00932408"/>
    <w:rsid w:val="00932781"/>
    <w:rsid w:val="00934171"/>
    <w:rsid w:val="009410E5"/>
    <w:rsid w:val="00941EBE"/>
    <w:rsid w:val="00942941"/>
    <w:rsid w:val="00942D33"/>
    <w:rsid w:val="00943486"/>
    <w:rsid w:val="009452D2"/>
    <w:rsid w:val="00952AAA"/>
    <w:rsid w:val="009531D6"/>
    <w:rsid w:val="009577CB"/>
    <w:rsid w:val="00961B4F"/>
    <w:rsid w:val="009622E6"/>
    <w:rsid w:val="00963537"/>
    <w:rsid w:val="00963931"/>
    <w:rsid w:val="00964A6A"/>
    <w:rsid w:val="0096740E"/>
    <w:rsid w:val="00971AFF"/>
    <w:rsid w:val="00981646"/>
    <w:rsid w:val="00981BFF"/>
    <w:rsid w:val="009872CA"/>
    <w:rsid w:val="00991C82"/>
    <w:rsid w:val="00992155"/>
    <w:rsid w:val="009931F3"/>
    <w:rsid w:val="00996FCD"/>
    <w:rsid w:val="009A51CA"/>
    <w:rsid w:val="009A6982"/>
    <w:rsid w:val="009B11F4"/>
    <w:rsid w:val="009B15AC"/>
    <w:rsid w:val="009B2918"/>
    <w:rsid w:val="009C0897"/>
    <w:rsid w:val="009C3A5B"/>
    <w:rsid w:val="009C4F17"/>
    <w:rsid w:val="009C6665"/>
    <w:rsid w:val="009D2041"/>
    <w:rsid w:val="009E0649"/>
    <w:rsid w:val="009E2DA2"/>
    <w:rsid w:val="009E6667"/>
    <w:rsid w:val="009E6C84"/>
    <w:rsid w:val="009E6D28"/>
    <w:rsid w:val="00A01F54"/>
    <w:rsid w:val="00A110AA"/>
    <w:rsid w:val="00A178BA"/>
    <w:rsid w:val="00A17CA7"/>
    <w:rsid w:val="00A33EFA"/>
    <w:rsid w:val="00A4086A"/>
    <w:rsid w:val="00A410D5"/>
    <w:rsid w:val="00A442CA"/>
    <w:rsid w:val="00A467EC"/>
    <w:rsid w:val="00A50E50"/>
    <w:rsid w:val="00A570F2"/>
    <w:rsid w:val="00A63C45"/>
    <w:rsid w:val="00A63F42"/>
    <w:rsid w:val="00A644BA"/>
    <w:rsid w:val="00A66B2D"/>
    <w:rsid w:val="00A66BA5"/>
    <w:rsid w:val="00A80853"/>
    <w:rsid w:val="00A81C71"/>
    <w:rsid w:val="00A83A4F"/>
    <w:rsid w:val="00A85CFF"/>
    <w:rsid w:val="00A87AE9"/>
    <w:rsid w:val="00A92636"/>
    <w:rsid w:val="00A954C1"/>
    <w:rsid w:val="00AA1CBE"/>
    <w:rsid w:val="00AA5999"/>
    <w:rsid w:val="00AB1132"/>
    <w:rsid w:val="00AB47A5"/>
    <w:rsid w:val="00AB4928"/>
    <w:rsid w:val="00AC35B4"/>
    <w:rsid w:val="00AE6604"/>
    <w:rsid w:val="00AF4A4C"/>
    <w:rsid w:val="00AF5C86"/>
    <w:rsid w:val="00AF6648"/>
    <w:rsid w:val="00B00920"/>
    <w:rsid w:val="00B00BE6"/>
    <w:rsid w:val="00B0440A"/>
    <w:rsid w:val="00B06065"/>
    <w:rsid w:val="00B11B55"/>
    <w:rsid w:val="00B142AE"/>
    <w:rsid w:val="00B15406"/>
    <w:rsid w:val="00B263BF"/>
    <w:rsid w:val="00B266FC"/>
    <w:rsid w:val="00B420C8"/>
    <w:rsid w:val="00B452E1"/>
    <w:rsid w:val="00B473FA"/>
    <w:rsid w:val="00B47FF1"/>
    <w:rsid w:val="00B54E4A"/>
    <w:rsid w:val="00B655E1"/>
    <w:rsid w:val="00B66E99"/>
    <w:rsid w:val="00B673BB"/>
    <w:rsid w:val="00B707F4"/>
    <w:rsid w:val="00B7261A"/>
    <w:rsid w:val="00B74521"/>
    <w:rsid w:val="00B80586"/>
    <w:rsid w:val="00B81497"/>
    <w:rsid w:val="00B838CB"/>
    <w:rsid w:val="00B85FC9"/>
    <w:rsid w:val="00B90D58"/>
    <w:rsid w:val="00B90E2A"/>
    <w:rsid w:val="00B91FA3"/>
    <w:rsid w:val="00B9498B"/>
    <w:rsid w:val="00B96AF8"/>
    <w:rsid w:val="00BA1417"/>
    <w:rsid w:val="00BA518B"/>
    <w:rsid w:val="00BA5755"/>
    <w:rsid w:val="00BA61ED"/>
    <w:rsid w:val="00BA7DC1"/>
    <w:rsid w:val="00BB043A"/>
    <w:rsid w:val="00BB0536"/>
    <w:rsid w:val="00BB4795"/>
    <w:rsid w:val="00BB5DB7"/>
    <w:rsid w:val="00BB6182"/>
    <w:rsid w:val="00BC219F"/>
    <w:rsid w:val="00BC3B28"/>
    <w:rsid w:val="00BC5C9F"/>
    <w:rsid w:val="00BC748A"/>
    <w:rsid w:val="00BC78E4"/>
    <w:rsid w:val="00BC7CBF"/>
    <w:rsid w:val="00BD0A58"/>
    <w:rsid w:val="00BD5774"/>
    <w:rsid w:val="00BE0A58"/>
    <w:rsid w:val="00BE3D26"/>
    <w:rsid w:val="00BE4570"/>
    <w:rsid w:val="00BF0B49"/>
    <w:rsid w:val="00BF0DB5"/>
    <w:rsid w:val="00BF2183"/>
    <w:rsid w:val="00BF2F29"/>
    <w:rsid w:val="00BF394A"/>
    <w:rsid w:val="00C029B7"/>
    <w:rsid w:val="00C239F1"/>
    <w:rsid w:val="00C327AF"/>
    <w:rsid w:val="00C40342"/>
    <w:rsid w:val="00C42A86"/>
    <w:rsid w:val="00C4771F"/>
    <w:rsid w:val="00C563B4"/>
    <w:rsid w:val="00C60805"/>
    <w:rsid w:val="00C749FC"/>
    <w:rsid w:val="00C76E2A"/>
    <w:rsid w:val="00C7721A"/>
    <w:rsid w:val="00C82B58"/>
    <w:rsid w:val="00C82E3C"/>
    <w:rsid w:val="00C927E7"/>
    <w:rsid w:val="00C94B95"/>
    <w:rsid w:val="00CA0011"/>
    <w:rsid w:val="00CA4267"/>
    <w:rsid w:val="00CA75D3"/>
    <w:rsid w:val="00CB2617"/>
    <w:rsid w:val="00CB3524"/>
    <w:rsid w:val="00CB3C03"/>
    <w:rsid w:val="00CB4D1D"/>
    <w:rsid w:val="00CB6F8A"/>
    <w:rsid w:val="00CC645B"/>
    <w:rsid w:val="00CC6501"/>
    <w:rsid w:val="00CC6542"/>
    <w:rsid w:val="00CC7586"/>
    <w:rsid w:val="00CD41EE"/>
    <w:rsid w:val="00CD6C8C"/>
    <w:rsid w:val="00CE0993"/>
    <w:rsid w:val="00CE161F"/>
    <w:rsid w:val="00CE169E"/>
    <w:rsid w:val="00CF1F3D"/>
    <w:rsid w:val="00CF613B"/>
    <w:rsid w:val="00D01FDB"/>
    <w:rsid w:val="00D0212C"/>
    <w:rsid w:val="00D0236E"/>
    <w:rsid w:val="00D04FEB"/>
    <w:rsid w:val="00D06743"/>
    <w:rsid w:val="00D10975"/>
    <w:rsid w:val="00D10D1D"/>
    <w:rsid w:val="00D115A1"/>
    <w:rsid w:val="00D12DB2"/>
    <w:rsid w:val="00D14593"/>
    <w:rsid w:val="00D14AFE"/>
    <w:rsid w:val="00D261D1"/>
    <w:rsid w:val="00D30402"/>
    <w:rsid w:val="00D31572"/>
    <w:rsid w:val="00D320D4"/>
    <w:rsid w:val="00D33C0C"/>
    <w:rsid w:val="00D37D15"/>
    <w:rsid w:val="00D41D5B"/>
    <w:rsid w:val="00D41FD7"/>
    <w:rsid w:val="00D4221E"/>
    <w:rsid w:val="00D44E3B"/>
    <w:rsid w:val="00D47063"/>
    <w:rsid w:val="00D51DE0"/>
    <w:rsid w:val="00D5434F"/>
    <w:rsid w:val="00D57644"/>
    <w:rsid w:val="00D6151A"/>
    <w:rsid w:val="00D61E16"/>
    <w:rsid w:val="00D67139"/>
    <w:rsid w:val="00D73F99"/>
    <w:rsid w:val="00D74965"/>
    <w:rsid w:val="00D90984"/>
    <w:rsid w:val="00D94335"/>
    <w:rsid w:val="00DA6FBB"/>
    <w:rsid w:val="00DB0F41"/>
    <w:rsid w:val="00DB0FB5"/>
    <w:rsid w:val="00DB1339"/>
    <w:rsid w:val="00DB1E0E"/>
    <w:rsid w:val="00DB4D55"/>
    <w:rsid w:val="00DC23E4"/>
    <w:rsid w:val="00DC4351"/>
    <w:rsid w:val="00DD2054"/>
    <w:rsid w:val="00DE11CD"/>
    <w:rsid w:val="00DE28F8"/>
    <w:rsid w:val="00DE32A5"/>
    <w:rsid w:val="00DE6BBB"/>
    <w:rsid w:val="00DE6F23"/>
    <w:rsid w:val="00DF16E3"/>
    <w:rsid w:val="00E0789F"/>
    <w:rsid w:val="00E11C19"/>
    <w:rsid w:val="00E15FD3"/>
    <w:rsid w:val="00E16A9C"/>
    <w:rsid w:val="00E16AB8"/>
    <w:rsid w:val="00E22855"/>
    <w:rsid w:val="00E27A60"/>
    <w:rsid w:val="00E364E1"/>
    <w:rsid w:val="00E374AE"/>
    <w:rsid w:val="00E44C56"/>
    <w:rsid w:val="00E4639B"/>
    <w:rsid w:val="00E4772F"/>
    <w:rsid w:val="00E53B7D"/>
    <w:rsid w:val="00E557EA"/>
    <w:rsid w:val="00E60901"/>
    <w:rsid w:val="00E6206B"/>
    <w:rsid w:val="00E63D72"/>
    <w:rsid w:val="00E66BCB"/>
    <w:rsid w:val="00E6726E"/>
    <w:rsid w:val="00E7301F"/>
    <w:rsid w:val="00E811F1"/>
    <w:rsid w:val="00E84538"/>
    <w:rsid w:val="00E86669"/>
    <w:rsid w:val="00E90958"/>
    <w:rsid w:val="00E95DCA"/>
    <w:rsid w:val="00E9600D"/>
    <w:rsid w:val="00EA3A1F"/>
    <w:rsid w:val="00EA5074"/>
    <w:rsid w:val="00EA5075"/>
    <w:rsid w:val="00EA5DDF"/>
    <w:rsid w:val="00EA72B6"/>
    <w:rsid w:val="00EB0442"/>
    <w:rsid w:val="00EB0CF2"/>
    <w:rsid w:val="00EB5309"/>
    <w:rsid w:val="00EC6EA9"/>
    <w:rsid w:val="00ED048C"/>
    <w:rsid w:val="00EE3623"/>
    <w:rsid w:val="00EE5AF4"/>
    <w:rsid w:val="00EF205A"/>
    <w:rsid w:val="00F0136D"/>
    <w:rsid w:val="00F05526"/>
    <w:rsid w:val="00F123CE"/>
    <w:rsid w:val="00F13F61"/>
    <w:rsid w:val="00F15270"/>
    <w:rsid w:val="00F15D36"/>
    <w:rsid w:val="00F16707"/>
    <w:rsid w:val="00F22723"/>
    <w:rsid w:val="00F26C63"/>
    <w:rsid w:val="00F33C0F"/>
    <w:rsid w:val="00F35FC1"/>
    <w:rsid w:val="00F45239"/>
    <w:rsid w:val="00F46411"/>
    <w:rsid w:val="00F55789"/>
    <w:rsid w:val="00F569D0"/>
    <w:rsid w:val="00F56A43"/>
    <w:rsid w:val="00F60E92"/>
    <w:rsid w:val="00F619EB"/>
    <w:rsid w:val="00F632ED"/>
    <w:rsid w:val="00F70288"/>
    <w:rsid w:val="00F72543"/>
    <w:rsid w:val="00F73778"/>
    <w:rsid w:val="00F7718F"/>
    <w:rsid w:val="00F857F2"/>
    <w:rsid w:val="00F94E2F"/>
    <w:rsid w:val="00F96547"/>
    <w:rsid w:val="00FA1BDE"/>
    <w:rsid w:val="00FB53C9"/>
    <w:rsid w:val="00FB5B39"/>
    <w:rsid w:val="00FC2196"/>
    <w:rsid w:val="00FC5E08"/>
    <w:rsid w:val="00FC7250"/>
    <w:rsid w:val="00FD1BA2"/>
    <w:rsid w:val="00FD23C2"/>
    <w:rsid w:val="00FE32EE"/>
    <w:rsid w:val="00FE546C"/>
    <w:rsid w:val="00FE670B"/>
    <w:rsid w:val="00FE7A79"/>
    <w:rsid w:val="00FF10B9"/>
    <w:rsid w:val="00FF16EB"/>
    <w:rsid w:val="00FF1828"/>
    <w:rsid w:val="00FF6CC4"/>
    <w:rsid w:val="00FF773D"/>
    <w:rsid w:val="00FF7EE4"/>
    <w:rsid w:val="66871A8B"/>
    <w:rsid w:val="752E29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Document Map"/>
    <w:basedOn w:val="1"/>
    <w:link w:val="19"/>
    <w:semiHidden/>
    <w:unhideWhenUsed/>
    <w:uiPriority w:val="99"/>
    <w:rPr>
      <w:rFonts w:ascii="宋体" w:eastAsia="宋体"/>
      <w:sz w:val="16"/>
      <w:szCs w:val="16"/>
    </w:rPr>
  </w:style>
  <w:style w:type="paragraph" w:styleId="4">
    <w:name w:val="Body Text Indent"/>
    <w:basedOn w:val="1"/>
    <w:link w:val="16"/>
    <w:uiPriority w:val="0"/>
    <w:pPr>
      <w:spacing w:after="120"/>
      <w:ind w:left="420" w:leftChars="200"/>
    </w:pPr>
    <w:rPr>
      <w:rFonts w:ascii="Times New Roman" w:hAnsi="Times New Roman" w:eastAsia="宋体" w:cs="Times New Roman"/>
      <w:szCs w:val="24"/>
    </w:rPr>
  </w:style>
  <w:style w:type="paragraph" w:styleId="5">
    <w:name w:val="Balloon Text"/>
    <w:basedOn w:val="1"/>
    <w:link w:val="18"/>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uiPriority w:val="99"/>
    <w:rPr>
      <w:color w:val="0563C1" w:themeColor="hyperlink"/>
      <w:u w:val="single"/>
      <w14:textFill>
        <w14:solidFill>
          <w14:schemeClr w14:val="hlink"/>
        </w14:solidFill>
      </w14:textFill>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标题 2 字符"/>
    <w:basedOn w:val="11"/>
    <w:link w:val="2"/>
    <w:qFormat/>
    <w:uiPriority w:val="0"/>
    <w:rPr>
      <w:rFonts w:ascii="Arial" w:hAnsi="Arial" w:eastAsia="黑体" w:cs="Times New Roman"/>
      <w:b/>
      <w:bCs/>
      <w:sz w:val="32"/>
      <w:szCs w:val="32"/>
    </w:rPr>
  </w:style>
  <w:style w:type="character" w:customStyle="1" w:styleId="16">
    <w:name w:val="正文文本缩进 字符"/>
    <w:basedOn w:val="11"/>
    <w:link w:val="4"/>
    <w:qFormat/>
    <w:uiPriority w:val="0"/>
    <w:rPr>
      <w:rFonts w:ascii="Times New Roman" w:hAnsi="Times New Roman" w:eastAsia="宋体" w:cs="Times New Roman"/>
      <w:szCs w:val="24"/>
    </w:rPr>
  </w:style>
  <w:style w:type="paragraph" w:styleId="17">
    <w:name w:val="List Paragraph"/>
    <w:basedOn w:val="1"/>
    <w:qFormat/>
    <w:uiPriority w:val="34"/>
    <w:pPr>
      <w:ind w:firstLine="420" w:firstLineChars="200"/>
    </w:pPr>
  </w:style>
  <w:style w:type="character" w:customStyle="1" w:styleId="18">
    <w:name w:val="批注框文本 字符"/>
    <w:basedOn w:val="11"/>
    <w:link w:val="5"/>
    <w:semiHidden/>
    <w:uiPriority w:val="99"/>
    <w:rPr>
      <w:sz w:val="18"/>
      <w:szCs w:val="18"/>
    </w:rPr>
  </w:style>
  <w:style w:type="character" w:customStyle="1" w:styleId="19">
    <w:name w:val="文档结构图 字符"/>
    <w:basedOn w:val="11"/>
    <w:link w:val="3"/>
    <w:semiHidden/>
    <w:qFormat/>
    <w:uiPriority w:val="99"/>
    <w:rPr>
      <w:rFonts w:ascii="宋体" w:eastAsia="宋体"/>
      <w:sz w:val="16"/>
      <w:szCs w:val="16"/>
    </w:rPr>
  </w:style>
  <w:style w:type="character" w:customStyle="1" w:styleId="20">
    <w:name w:val="Unresolved Mention"/>
    <w:basedOn w:val="11"/>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F5554-E14C-4697-B19A-55D6027EAC3C}">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428</Words>
  <Characters>2442</Characters>
  <Lines>20</Lines>
  <Paragraphs>5</Paragraphs>
  <TotalTime>595</TotalTime>
  <ScaleCrop>false</ScaleCrop>
  <LinksUpToDate>false</LinksUpToDate>
  <CharactersWithSpaces>2865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2019-01-03T01:53:00Z</dcterms:created>
  <dc:creator>dd</dc:creator>
  <cp:lastModifiedBy>吴雨潇|wuyuxiao</cp:lastModifiedBy>
  <dcterms:modified xsi:type="dcterms:W3CDTF">2023-04-06T06:02:00Z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B389A012A1EE4EF5BFCA7549ED3FF686</vt:lpwstr>
  </property>
</Properties>
</file>